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-302260</wp:posOffset>
                </wp:positionH>
                <wp:positionV relativeFrom="paragraph">
                  <wp:posOffset>-23495</wp:posOffset>
                </wp:positionV>
                <wp:extent cx="6021070" cy="2478405"/>
                <wp:effectExtent l="4445" t="4445" r="13335" b="1270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478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本产品为周期持有型理财产品</w:t>
                            </w:r>
                            <w:r>
                              <w:rPr>
                                <w:rFonts w:ascii="楷体" w:hAnsi="楷体" w:eastAsia="楷体" w:cs="宋体"/>
                                <w:b/>
                                <w:spacing w:val="-2"/>
                                <w:szCs w:val="21"/>
                                <w:u w:val="single"/>
                              </w:rPr>
                              <w:t>，</w:t>
                            </w:r>
                            <w:r>
                              <w:rPr>
                                <w:rFonts w:hint="eastAsia" w:ascii="楷体" w:hAnsi="楷体" w:eastAsia="楷体" w:cs="宋体"/>
                                <w:b/>
                                <w:spacing w:val="-2"/>
                                <w:szCs w:val="21"/>
                                <w:u w:val="single"/>
                              </w:rPr>
                              <w:t>客户持有</w:t>
                            </w:r>
                            <w:r>
                              <w:rPr>
                                <w:rFonts w:ascii="楷体" w:hAnsi="楷体" w:eastAsia="楷体" w:cs="宋体"/>
                                <w:b/>
                                <w:spacing w:val="-2"/>
                                <w:szCs w:val="21"/>
                                <w:u w:val="single"/>
                              </w:rPr>
                              <w:t>份额须按约定运作满足够天数后由系统发起全额自动赎回，在未按约定运作满足够天数前客户无权提前赎回份额。</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本产品各份额设置有不同业绩比较基准，各</w:t>
                            </w:r>
                            <w:r>
                              <w:rPr>
                                <w:rFonts w:hint="eastAsia" w:ascii="楷体" w:hAnsi="楷体" w:eastAsia="楷体" w:cs="宋体"/>
                                <w:b/>
                                <w:spacing w:val="-2"/>
                                <w:szCs w:val="21"/>
                                <w:u w:val="single"/>
                                <w:lang w:val="en-US" w:eastAsia="zh-CN"/>
                              </w:rPr>
                              <w:t>份额</w:t>
                            </w:r>
                            <w:r>
                              <w:rPr>
                                <w:rFonts w:hint="eastAsia" w:ascii="楷体" w:hAnsi="楷体" w:eastAsia="楷体" w:cs="宋体"/>
                                <w:b/>
                                <w:spacing w:val="-2"/>
                                <w:szCs w:val="21"/>
                                <w:u w:val="single"/>
                              </w:rPr>
                              <w:t>按照设置的销售对象和销售起点进行销售，客户根据设置的销售条件自主选择购买。</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投资者持仓份额的产品净值含有未收取的超额业绩报酬</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lang w:val="en-US" w:eastAsia="zh-CN"/>
                              </w:rPr>
                              <w:t>如有</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rPr>
                              <w:t>，自动赎回兑付金额以实际入账金额为准。</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u w:val="single"/>
                              </w:rPr>
                              <w:t>：95319-</w:t>
                            </w:r>
                            <w:r>
                              <w:rPr>
                                <w:rFonts w:hint="eastAsia" w:ascii="楷体" w:hAnsi="楷体" w:eastAsia="楷体" w:cs="宋体"/>
                                <w:b/>
                                <w:spacing w:val="-2"/>
                                <w:szCs w:val="21"/>
                                <w:u w:val="single"/>
                                <w:lang w:val="en-US" w:eastAsia="zh-CN"/>
                              </w:rPr>
                              <w:t>8-2</w:t>
                            </w:r>
                            <w:r>
                              <w:rPr>
                                <w:rFonts w:hint="eastAsia" w:ascii="楷体" w:hAnsi="楷体" w:eastAsia="楷体" w:cs="宋体"/>
                                <w:b/>
                                <w:spacing w:val="-2"/>
                                <w:szCs w:val="21"/>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wps:txbx>
                      <wps:bodyPr vert="horz" wrap="square" anchor="t" anchorCtr="0" upright="1">
                        <a:spAutoFit/>
                      </wps:bodyPr>
                    </wps:wsp>
                  </a:graphicData>
                </a:graphic>
              </wp:anchor>
            </w:drawing>
          </mc:Choice>
          <mc:Fallback>
            <w:pict>
              <v:shape id="文本框 2" o:spid="_x0000_s1026" o:spt="202" type="#_x0000_t202" style="position:absolute;left:0pt;margin-left:-23.8pt;margin-top:-1.85pt;height:195.1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Hvcg3bZAAAACgEAAA8AAAAAAAAAAQAgAAAAIgAAAGRycy9kb3ducmV2&#10;LnhtbFBLAQIUABQAAAAIAIdO4kDredsjNAIAAIQEAAAOAAAAAAAAAAEAIAAAACgBAABkcnMvZTJv&#10;RG9jLnhtbFBLBQYAAAAABgAGAFkBAADOBQ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本产品为周期持有型理财产品</w:t>
                      </w:r>
                      <w:r>
                        <w:rPr>
                          <w:rFonts w:ascii="楷体" w:hAnsi="楷体" w:eastAsia="楷体" w:cs="宋体"/>
                          <w:b/>
                          <w:spacing w:val="-2"/>
                          <w:szCs w:val="21"/>
                          <w:u w:val="single"/>
                        </w:rPr>
                        <w:t>，</w:t>
                      </w:r>
                      <w:r>
                        <w:rPr>
                          <w:rFonts w:hint="eastAsia" w:ascii="楷体" w:hAnsi="楷体" w:eastAsia="楷体" w:cs="宋体"/>
                          <w:b/>
                          <w:spacing w:val="-2"/>
                          <w:szCs w:val="21"/>
                          <w:u w:val="single"/>
                        </w:rPr>
                        <w:t>客户持有</w:t>
                      </w:r>
                      <w:r>
                        <w:rPr>
                          <w:rFonts w:ascii="楷体" w:hAnsi="楷体" w:eastAsia="楷体" w:cs="宋体"/>
                          <w:b/>
                          <w:spacing w:val="-2"/>
                          <w:szCs w:val="21"/>
                          <w:u w:val="single"/>
                        </w:rPr>
                        <w:t>份额须按约定运作满足够天数后由系统发起全额自动赎回，在未按约定运作满足够天数前客户无权提前赎回份额。</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本产品各份额设置有不同业绩比较基准，各</w:t>
                      </w:r>
                      <w:r>
                        <w:rPr>
                          <w:rFonts w:hint="eastAsia" w:ascii="楷体" w:hAnsi="楷体" w:eastAsia="楷体" w:cs="宋体"/>
                          <w:b/>
                          <w:spacing w:val="-2"/>
                          <w:szCs w:val="21"/>
                          <w:u w:val="single"/>
                          <w:lang w:val="en-US" w:eastAsia="zh-CN"/>
                        </w:rPr>
                        <w:t>份额</w:t>
                      </w:r>
                      <w:r>
                        <w:rPr>
                          <w:rFonts w:hint="eastAsia" w:ascii="楷体" w:hAnsi="楷体" w:eastAsia="楷体" w:cs="宋体"/>
                          <w:b/>
                          <w:spacing w:val="-2"/>
                          <w:szCs w:val="21"/>
                          <w:u w:val="single"/>
                        </w:rPr>
                        <w:t>按照设置的销售对象和销售起点进行销售，客户根据设置的销售条件自主选择购买。</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投资者持仓份额的产品净值含有未收取的超额业绩报酬</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lang w:val="en-US" w:eastAsia="zh-CN"/>
                        </w:rPr>
                        <w:t>如有</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rPr>
                        <w:t>，自动赎回兑付金额以实际入账金额为准。</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u w:val="single"/>
                        </w:rPr>
                        <w:t>：95319-</w:t>
                      </w:r>
                      <w:r>
                        <w:rPr>
                          <w:rFonts w:hint="eastAsia" w:ascii="楷体" w:hAnsi="楷体" w:eastAsia="楷体" w:cs="宋体"/>
                          <w:b/>
                          <w:spacing w:val="-2"/>
                          <w:szCs w:val="21"/>
                          <w:u w:val="single"/>
                          <w:lang w:val="en-US" w:eastAsia="zh-CN"/>
                        </w:rPr>
                        <w:t>8-2</w:t>
                      </w:r>
                      <w:r>
                        <w:rPr>
                          <w:rFonts w:hint="eastAsia" w:ascii="楷体" w:hAnsi="楷体" w:eastAsia="楷体" w:cs="宋体"/>
                          <w:b/>
                          <w:spacing w:val="-2"/>
                          <w:szCs w:val="21"/>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rPr>
        <w:t xml:space="preserve"> </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w:t>
      </w: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6</w:t>
      </w:r>
      <w:r>
        <w:rPr>
          <w:rFonts w:hint="eastAsia" w:ascii="楷体" w:hAnsi="楷体" w:eastAsia="楷体"/>
          <w:b/>
        </w:rPr>
        <w:t>年</w:t>
      </w:r>
      <w:r>
        <w:rPr>
          <w:rFonts w:hint="eastAsia" w:ascii="楷体" w:hAnsi="楷体" w:eastAsia="楷体"/>
          <w:b/>
          <w:lang w:val="en-US" w:eastAsia="zh-CN"/>
        </w:rPr>
        <w:t>2</w:t>
      </w:r>
      <w:r>
        <w:rPr>
          <w:rFonts w:hint="eastAsia" w:ascii="楷体" w:hAnsi="楷体" w:eastAsia="楷体"/>
          <w:b/>
        </w:rPr>
        <w:t>月版）</w:t>
      </w:r>
    </w:p>
    <w:p>
      <w:pPr>
        <w:pStyle w:val="12"/>
        <w:spacing w:before="0" w:beforeAutospacing="0" w:after="0" w:afterAutospacing="0" w:line="360" w:lineRule="auto"/>
        <w:rPr>
          <w:rFonts w:hint="eastAsia" w:ascii="楷体" w:hAnsi="楷体" w:eastAsia="楷体"/>
          <w:b/>
          <w:sz w:val="30"/>
          <w:szCs w:val="30"/>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“苏银理财恒源融达1号”理财产品风险揭示书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“苏银理财恒源融达1号”理财产品说明书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r>
              <w:rPr>
                <w:rStyle w:val="20"/>
                <w:rFonts w:hint="eastAsia" w:ascii="楷体" w:hAnsi="楷体" w:eastAsia="楷体"/>
                <w:sz w:val="18"/>
                <w:szCs w:val="18"/>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理财产品（代理）销售协议书</w:t>
            </w:r>
            <w:r>
              <w:rPr>
                <w:rStyle w:val="20"/>
                <w:rFonts w:ascii="楷体" w:hAnsi="楷体" w:eastAsia="楷体"/>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理财产品（代理）销售协议书</w:t>
            </w:r>
          </w:p>
        </w:tc>
      </w:tr>
    </w:tbl>
    <w:p>
      <w:pPr>
        <w:pStyle w:val="12"/>
        <w:rPr>
          <w:rFonts w:hint="eastAsia" w:ascii="楷体" w:hAnsi="楷体" w:eastAsia="楷体"/>
        </w:rPr>
      </w:pPr>
    </w:p>
    <w:p>
      <w:pPr>
        <w:pStyle w:val="12"/>
        <w:spacing w:before="0" w:beforeAutospacing="0" w:after="0" w:afterAutospacing="0" w:line="280" w:lineRule="atLeast"/>
        <w:rPr>
          <w:rFonts w:hint="eastAsia" w:ascii="楷体" w:hAnsi="楷体" w:eastAsia="楷体"/>
        </w:rPr>
      </w:pPr>
      <w:r>
        <w:rPr>
          <w:rStyle w:val="17"/>
          <w:rFonts w:hint="eastAsia" w:ascii="楷体" w:hAnsi="楷体" w:eastAsia="楷体"/>
          <w:bCs w:val="0"/>
        </w:rPr>
        <w:t>郑重提示：</w:t>
      </w:r>
    </w:p>
    <w:p>
      <w:pPr>
        <w:pStyle w:val="12"/>
        <w:spacing w:before="156" w:beforeLines="5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w:t>
      </w:r>
      <w:r>
        <w:rPr>
          <w:rFonts w:hint="eastAsia" w:ascii="楷体" w:hAnsi="楷体" w:eastAsia="楷体" w:cs="Times New Roman"/>
          <w:lang w:eastAsia="zh-CN"/>
        </w:rPr>
        <w:t>理财产品（代理）销售协议书</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12"/>
        <w:spacing w:before="0" w:beforeAutospacing="0" w:after="0" w:afterAutospacing="0" w:line="360" w:lineRule="auto"/>
        <w:jc w:val="center"/>
        <w:rPr>
          <w:rFonts w:hint="eastAsia" w:ascii="楷体" w:hAnsi="楷体" w:eastAsia="楷体"/>
          <w:b/>
          <w:sz w:val="36"/>
          <w:szCs w:val="36"/>
        </w:rPr>
      </w:pPr>
    </w:p>
    <w:p>
      <w:pPr>
        <w:pStyle w:val="2"/>
        <w:bidi w:val="0"/>
        <w:rPr>
          <w:rFonts w:hint="eastAsia"/>
        </w:rPr>
      </w:pPr>
    </w:p>
    <w:p>
      <w:pPr>
        <w:pStyle w:val="12"/>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2"/>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sz w:val="24"/>
          <w:szCs w:val="24"/>
          <w:u w:val="single"/>
          <w:lang w:val="en-US" w:eastAsia="zh-CN"/>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本理财产品的任何业绩比较区间、业绩比较基准类似表述均属不具有法律约束力的用语，业绩比较基准</w:t>
      </w:r>
      <w:r>
        <w:rPr>
          <w:rFonts w:hint="eastAsia" w:ascii="楷体" w:hAnsi="楷体" w:eastAsia="楷体"/>
          <w:b/>
          <w:sz w:val="24"/>
          <w:szCs w:val="24"/>
          <w:u w:val="single"/>
          <w:lang w:val="en-US" w:eastAsia="zh-CN"/>
        </w:rPr>
        <w:t>为管理人</w:t>
      </w:r>
      <w:r>
        <w:rPr>
          <w:rFonts w:hint="eastAsia" w:ascii="楷体" w:hAnsi="楷体" w:eastAsia="楷体"/>
          <w:b/>
          <w:sz w:val="24"/>
          <w:szCs w:val="24"/>
          <w:u w:val="single"/>
        </w:rPr>
        <w:t>对本产品所设定的投资目标</w:t>
      </w:r>
      <w:r>
        <w:rPr>
          <w:rFonts w:hint="eastAsia" w:ascii="楷体" w:hAnsi="楷体" w:eastAsia="楷体"/>
          <w:b/>
          <w:sz w:val="24"/>
          <w:szCs w:val="24"/>
          <w:u w:val="single"/>
          <w:lang w:eastAsia="zh-CN"/>
        </w:rPr>
        <w:t>，</w:t>
      </w:r>
      <w:r>
        <w:rPr>
          <w:rFonts w:hint="eastAsia" w:ascii="楷体" w:hAnsi="楷体" w:eastAsia="楷体"/>
          <w:b/>
          <w:sz w:val="24"/>
          <w:szCs w:val="24"/>
          <w:u w:val="single"/>
        </w:rPr>
        <w:t>不代表投资者可能获得的实际收益，亦不构成苏银理财有限责任公司（以下简称“苏银理财”）对本理财产品的任何收益承诺。</w:t>
      </w:r>
    </w:p>
    <w:p>
      <w:pPr>
        <w:numPr>
          <w:ilvl w:val="0"/>
          <w:numId w:val="2"/>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2"/>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、其他风险等。请仔细阅读《“苏银理财恒源融达1号”理财产品风险揭示书》的“风险揭示”部分。</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2"/>
        </w:numPr>
        <w:rPr>
          <w:rFonts w:hint="eastAsia" w:ascii="楷体" w:hAnsi="楷体" w:eastAsia="楷体"/>
          <w:b/>
          <w:sz w:val="24"/>
          <w:szCs w:val="24"/>
          <w:u w:val="singl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2"/>
        </w:numPr>
        <w:rPr>
          <w:rFonts w:hint="eastAsia" w:ascii="楷体" w:hAnsi="楷体" w:eastAsia="楷体"/>
          <w:sz w:val="24"/>
          <w:szCs w:val="24"/>
        </w:rPr>
      </w:pPr>
      <w:r>
        <w:rPr>
          <w:rFonts w:hint="eastAsia" w:ascii="楷体" w:hAnsi="楷体" w:eastAsia="楷体"/>
          <w:sz w:val="24"/>
          <w:szCs w:val="24"/>
        </w:rPr>
        <w:t>为贯彻落实</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2"/>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2"/>
        </w:numPr>
        <w:rPr>
          <w:rFonts w:hint="eastAsia" w:ascii="楷体" w:hAnsi="楷体" w:eastAsia="楷体"/>
        </w:rPr>
      </w:pPr>
      <w:r>
        <w:rPr>
          <w:rFonts w:hint="eastAsia" w:ascii="楷体" w:hAnsi="楷体" w:eastAsia="楷体"/>
          <w:sz w:val="24"/>
          <w:szCs w:val="24"/>
        </w:rPr>
        <w:t>本理财产品说明书在法律许可的范围内由苏银理财负责解释。</w:t>
      </w:r>
    </w:p>
    <w:p>
      <w:pPr>
        <w:ind w:left="420"/>
        <w:rPr>
          <w:rFonts w:hint="eastAsia" w:ascii="楷体" w:hAnsi="楷体" w:eastAsia="楷体"/>
          <w:sz w:val="24"/>
          <w:szCs w:val="24"/>
        </w:rPr>
      </w:pPr>
    </w:p>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48"/>
        <w:gridCol w:w="6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1"/>
              <w:ind w:left="2"/>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468" w:type="dxa"/>
            <w:noWrap w:val="0"/>
            <w:vAlign w:val="center"/>
          </w:tcPr>
          <w:p>
            <w:pPr>
              <w:pStyle w:val="33"/>
              <w:kinsoku w:val="0"/>
              <w:overflowPunct w:val="0"/>
              <w:spacing w:before="13"/>
              <w:ind w:left="2"/>
              <w:rPr>
                <w:rFonts w:hint="eastAsia" w:ascii="楷体" w:hAnsi="楷体" w:eastAsia="楷体" w:cs="宋体"/>
                <w:spacing w:val="-2"/>
                <w:sz w:val="21"/>
                <w:szCs w:val="21"/>
              </w:rPr>
            </w:pPr>
            <w:r>
              <w:rPr>
                <w:rFonts w:hint="eastAsia" w:ascii="楷体" w:hAnsi="楷体" w:eastAsia="楷体" w:cs="宋体"/>
                <w:spacing w:val="-2"/>
                <w:sz w:val="21"/>
                <w:szCs w:val="21"/>
              </w:rPr>
              <w:t>苏银理财恒源融达1号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40"/>
              <w:ind w:left="4"/>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468" w:type="dxa"/>
            <w:noWrap w:val="0"/>
            <w:vAlign w:val="center"/>
          </w:tcPr>
          <w:p>
            <w:pPr>
              <w:pStyle w:val="33"/>
              <w:kinsoku w:val="0"/>
              <w:overflowPunct w:val="0"/>
              <w:spacing w:line="260" w:lineRule="exact"/>
              <w:ind w:left="10"/>
              <w:rPr>
                <w:rFonts w:hint="eastAsia" w:ascii="楷体" w:hAnsi="楷体" w:eastAsia="楷体" w:cs="宋体"/>
                <w:spacing w:val="-2"/>
                <w:sz w:val="21"/>
                <w:szCs w:val="21"/>
              </w:rPr>
            </w:pPr>
            <w:r>
              <w:rPr>
                <w:rFonts w:hint="eastAsia" w:ascii="楷体" w:hAnsi="楷体" w:eastAsia="楷体" w:cs="宋体"/>
                <w:spacing w:val="-2"/>
                <w:sz w:val="21"/>
                <w:szCs w:val="21"/>
              </w:rPr>
              <w:t>Z7003123000062</w:t>
            </w:r>
          </w:p>
          <w:p>
            <w:pPr>
              <w:pStyle w:val="33"/>
              <w:kinsoku w:val="0"/>
              <w:overflowPunct w:val="0"/>
              <w:spacing w:line="260" w:lineRule="exact"/>
              <w:ind w:left="10"/>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查询产品信息），产品变更前原理财产品登记编码为C1086818000096。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2"/>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468" w:type="dxa"/>
            <w:noWrap w:val="0"/>
            <w:vAlign w:val="center"/>
          </w:tcPr>
          <w:p>
            <w:pPr>
              <w:pStyle w:val="33"/>
              <w:kinsoku w:val="0"/>
              <w:overflowPunct w:val="0"/>
              <w:spacing w:before="12"/>
              <w:ind w:left="3"/>
              <w:rPr>
                <w:rFonts w:hint="eastAsia" w:ascii="楷体" w:hAnsi="楷体" w:eastAsia="楷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J180409SA86B</w:t>
            </w:r>
          </w:p>
          <w:p>
            <w:pPr>
              <w:pStyle w:val="33"/>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/J180409SA86D</w:t>
            </w:r>
          </w:p>
          <w:p>
            <w:pPr>
              <w:pStyle w:val="33"/>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E50</w:t>
            </w:r>
            <w:r>
              <w:rPr>
                <w:rFonts w:hint="eastAsia" w:ascii="楷体" w:hAnsi="楷体" w:eastAsia="楷体" w:cs="宋体"/>
                <w:spacing w:val="-2"/>
                <w:sz w:val="21"/>
                <w:szCs w:val="21"/>
              </w:rPr>
              <w:t>/J180409SA86E</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F份额：苏银理财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/J180409SA86F</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G份额：苏银理财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J02453</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J02764</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J02767</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J03363</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/J03473</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/J03506</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芙蓉锦程·优选份额：苏银理财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/J03612</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/J03613</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/J03614</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/J03807</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/J04954</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北部湾银行专属份额：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/J07237</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P/J07303</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I份额：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I/J10363</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鑫福款份额：苏银理财恒源融达1号6月鑫福款/J12106</w:t>
            </w:r>
          </w:p>
          <w:p>
            <w:pPr>
              <w:pStyle w:val="33"/>
              <w:kinsoku w:val="0"/>
              <w:overflowPunct w:val="0"/>
              <w:spacing w:before="12"/>
              <w:ind w:left="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JS鑫福优享份额：苏银理财恒源融达1号6月JS鑫福优享/J12107</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JS鑫福尊享份额：苏银理财恒源融达1号6月JS鑫福尊享/J12108</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/J13163</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/J1316</w:t>
            </w:r>
            <w:r>
              <w:rPr>
                <w:rFonts w:hint="eastAsia" w:ascii="楷体" w:hAnsi="楷体" w:eastAsia="楷体" w:cs="宋体"/>
                <w:spacing w:val="-2"/>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468" w:type="dxa"/>
            <w:noWrap w:val="0"/>
            <w:vAlign w:val="center"/>
          </w:tcPr>
          <w:p>
            <w:pPr>
              <w:pStyle w:val="33"/>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468" w:type="dxa"/>
            <w:noWrap w:val="0"/>
            <w:vAlign w:val="center"/>
          </w:tcPr>
          <w:p>
            <w:pPr>
              <w:pStyle w:val="33"/>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江苏银行股份有限公司</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详见下文“十四、产品托管人”。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468" w:type="dxa"/>
            <w:noWrap w:val="0"/>
            <w:vAlign w:val="center"/>
          </w:tcPr>
          <w:p>
            <w:pPr>
              <w:pStyle w:val="33"/>
              <w:kinsoku w:val="0"/>
              <w:overflowPunct w:val="0"/>
              <w:spacing w:before="13"/>
              <w:ind w:left="4"/>
              <w:rPr>
                <w:rFonts w:hint="eastAsia"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4"/>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468" w:type="dxa"/>
            <w:noWrap w:val="0"/>
            <w:vAlign w:val="center"/>
          </w:tcPr>
          <w:p>
            <w:pPr>
              <w:pStyle w:val="33"/>
              <w:kinsoku w:val="0"/>
              <w:overflowPunct w:val="0"/>
              <w:spacing w:before="13"/>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3"/>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3"/>
              <w:kinsoku w:val="0"/>
              <w:overflowPunct w:val="0"/>
              <w:spacing w:before="13"/>
              <w:ind w:left="18"/>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468" w:type="dxa"/>
            <w:noWrap w:val="0"/>
            <w:vAlign w:val="center"/>
          </w:tcPr>
          <w:p>
            <w:pPr>
              <w:pStyle w:val="33"/>
              <w:kinsoku w:val="0"/>
              <w:overflowPunct w:val="0"/>
              <w:spacing w:before="12"/>
              <w:ind w:left="9"/>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468" w:type="dxa"/>
            <w:noWrap w:val="0"/>
            <w:vAlign w:val="center"/>
          </w:tcPr>
          <w:p>
            <w:pPr>
              <w:pStyle w:val="33"/>
              <w:kinsoku w:val="0"/>
              <w:overflowPunct w:val="0"/>
              <w:spacing w:before="12"/>
              <w:ind w:left="9"/>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468" w:type="dxa"/>
            <w:noWrap w:val="0"/>
            <w:vAlign w:val="center"/>
          </w:tcPr>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份额面向个人和机构投资者销售；</w:t>
            </w:r>
          </w:p>
          <w:p>
            <w:pPr>
              <w:pStyle w:val="33"/>
              <w:kinsoku w:val="0"/>
              <w:overflowPunct w:val="0"/>
              <w:spacing w:before="12"/>
              <w:ind w:left="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份额面向个人投资者销售</w:t>
            </w:r>
            <w:r>
              <w:rPr>
                <w:rFonts w:hint="eastAsia" w:ascii="楷体" w:hAnsi="楷体" w:eastAsia="楷体" w:cs="宋体"/>
                <w:spacing w:val="-2"/>
                <w:sz w:val="21"/>
                <w:szCs w:val="21"/>
                <w:lang w:val="en-US" w:eastAsia="zh-CN"/>
              </w:rPr>
              <w:t>(销售机构江苏银行仅限代发工资客户)</w:t>
            </w:r>
            <w:r>
              <w:rPr>
                <w:rFonts w:hint="eastAsia" w:ascii="楷体" w:hAnsi="楷体" w:eastAsia="楷体" w:cs="宋体"/>
                <w:spacing w:val="-2"/>
                <w:sz w:val="21"/>
                <w:szCs w:val="21"/>
              </w:rPr>
              <w:t>;</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份额面向个人和机构投资者销售（</w:t>
            </w:r>
            <w:r>
              <w:rPr>
                <w:rFonts w:hint="eastAsia" w:ascii="楷体" w:hAnsi="楷体" w:eastAsia="楷体" w:cs="Times New Roman"/>
                <w:b w:val="0"/>
                <w:bCs w:val="0"/>
                <w:kern w:val="0"/>
                <w:sz w:val="21"/>
                <w:szCs w:val="21"/>
                <w:lang w:val="en-US" w:eastAsia="zh-CN" w:bidi="ar-SA"/>
              </w:rPr>
              <w:t>销售机构江苏银行个人投资者仅限50周岁及以上客户和江苏银行社保卡持卡人</w:t>
            </w:r>
            <w:r>
              <w:rPr>
                <w:rFonts w:hint="eastAsia" w:ascii="楷体" w:hAnsi="楷体" w:eastAsia="楷体" w:cs="宋体"/>
                <w:spacing w:val="-2"/>
                <w:sz w:val="21"/>
                <w:szCs w:val="21"/>
              </w:rPr>
              <w:t>）；</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F份额面向个人投资者销售（</w:t>
            </w:r>
            <w:r>
              <w:rPr>
                <w:rFonts w:hint="eastAsia" w:ascii="楷体" w:hAnsi="楷体" w:eastAsia="楷体" w:cs="宋体"/>
                <w:spacing w:val="-2"/>
                <w:sz w:val="21"/>
                <w:szCs w:val="21"/>
                <w:lang w:val="en-US" w:eastAsia="zh-CN"/>
              </w:rPr>
              <w:t>销售机构</w:t>
            </w:r>
            <w:r>
              <w:rPr>
                <w:rFonts w:hint="eastAsia" w:ascii="楷体" w:hAnsi="楷体" w:eastAsia="楷体" w:cs="宋体"/>
                <w:spacing w:val="-2"/>
                <w:sz w:val="21"/>
                <w:szCs w:val="21"/>
              </w:rPr>
              <w:t>江苏银行</w:t>
            </w:r>
            <w:r>
              <w:rPr>
                <w:rFonts w:hint="eastAsia" w:ascii="楷体" w:hAnsi="楷体" w:eastAsia="楷体" w:cs="宋体"/>
                <w:spacing w:val="-2"/>
                <w:sz w:val="21"/>
                <w:szCs w:val="21"/>
                <w:lang w:val="en-US" w:eastAsia="zh-CN"/>
              </w:rPr>
              <w:t>仅限</w:t>
            </w:r>
            <w:r>
              <w:rPr>
                <w:rFonts w:hint="eastAsia" w:ascii="楷体" w:hAnsi="楷体" w:eastAsia="楷体" w:cs="宋体"/>
                <w:spacing w:val="-2"/>
                <w:sz w:val="21"/>
                <w:szCs w:val="21"/>
              </w:rPr>
              <w:t>企业手机银行专业版个人用户、江苏银行信用卡持卡用户）;</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G份额面向个人</w:t>
            </w:r>
            <w:r>
              <w:rPr>
                <w:rFonts w:hint="eastAsia" w:ascii="楷体" w:hAnsi="楷体" w:eastAsia="楷体" w:cs="宋体"/>
                <w:spacing w:val="-2"/>
                <w:sz w:val="21"/>
                <w:szCs w:val="21"/>
                <w:lang w:val="en-US" w:eastAsia="zh-CN"/>
              </w:rPr>
              <w:t>和机构投资者</w:t>
            </w:r>
            <w:r>
              <w:rPr>
                <w:rFonts w:hint="eastAsia" w:ascii="楷体" w:hAnsi="楷体" w:eastAsia="楷体" w:cs="宋体"/>
                <w:spacing w:val="-2"/>
                <w:sz w:val="21"/>
                <w:szCs w:val="21"/>
              </w:rPr>
              <w:t>销售;</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份额面向个人和机构投资者销售;</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份额</w:t>
            </w:r>
            <w:r>
              <w:rPr>
                <w:rFonts w:hint="eastAsia" w:ascii="楷体" w:hAnsi="楷体" w:eastAsia="楷体" w:cs="宋体"/>
                <w:spacing w:val="-2"/>
                <w:sz w:val="21"/>
                <w:szCs w:val="21"/>
                <w:highlight w:val="none"/>
              </w:rPr>
              <w:t>面向个人投资者销售（江苏银行手机银行个人碳账户签约客户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份额</w:t>
            </w:r>
            <w:r>
              <w:rPr>
                <w:rFonts w:hint="eastAsia" w:ascii="楷体" w:hAnsi="楷体" w:eastAsia="楷体" w:cs="宋体"/>
                <w:spacing w:val="-2"/>
                <w:sz w:val="21"/>
                <w:szCs w:val="21"/>
                <w:highlight w:val="none"/>
              </w:rPr>
              <w:t>面向</w:t>
            </w:r>
            <w:r>
              <w:rPr>
                <w:rFonts w:hint="eastAsia" w:ascii="楷体" w:hAnsi="楷体" w:eastAsia="楷体" w:cs="宋体"/>
                <w:spacing w:val="-2"/>
                <w:sz w:val="21"/>
                <w:szCs w:val="21"/>
                <w:highlight w:val="none"/>
                <w:lang w:val="en-US" w:eastAsia="zh-CN"/>
              </w:rPr>
              <w:t>机构</w:t>
            </w:r>
            <w:r>
              <w:rPr>
                <w:rFonts w:hint="eastAsia" w:ascii="楷体" w:hAnsi="楷体" w:eastAsia="楷体" w:cs="宋体"/>
                <w:spacing w:val="-2"/>
                <w:sz w:val="21"/>
                <w:szCs w:val="21"/>
                <w:highlight w:val="none"/>
              </w:rPr>
              <w:t>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芙蓉锦程·优选份额面向个人和机构投资者销售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I</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w:t>
            </w:r>
            <w:r>
              <w:rPr>
                <w:rFonts w:hint="eastAsia" w:ascii="楷体" w:hAnsi="楷体" w:eastAsia="楷体" w:cs="宋体"/>
                <w:spacing w:val="-2"/>
                <w:sz w:val="21"/>
                <w:szCs w:val="21"/>
              </w:rPr>
              <w:t>份额面向个人</w:t>
            </w:r>
            <w:r>
              <w:rPr>
                <w:rFonts w:hint="eastAsia" w:ascii="楷体" w:hAnsi="楷体" w:eastAsia="楷体" w:cs="宋体"/>
                <w:spacing w:val="-2"/>
                <w:sz w:val="21"/>
                <w:szCs w:val="21"/>
                <w:lang w:val="en-US" w:eastAsia="zh-CN"/>
              </w:rPr>
              <w:t>和机构</w:t>
            </w:r>
            <w:r>
              <w:rPr>
                <w:rFonts w:hint="eastAsia" w:ascii="楷体" w:hAnsi="楷体" w:eastAsia="楷体" w:cs="宋体"/>
                <w:spacing w:val="-2"/>
                <w:sz w:val="21"/>
                <w:szCs w:val="21"/>
              </w:rPr>
              <w:t>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份额面向个人和机构投资者销售;</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468" w:type="dxa"/>
            <w:noWrap w:val="0"/>
            <w:vAlign w:val="center"/>
          </w:tcPr>
          <w:p>
            <w:pPr>
              <w:jc w:val="left"/>
              <w:rPr>
                <w:rFonts w:hint="eastAsia" w:ascii="楷体" w:hAnsi="楷体" w:eastAsia="楷体" w:cs="宋体"/>
                <w:spacing w:val="-2"/>
                <w:szCs w:val="21"/>
              </w:rPr>
            </w:pPr>
            <w:r>
              <w:rPr>
                <w:rFonts w:hint="eastAsia" w:ascii="楷体" w:hAnsi="楷体" w:eastAsia="楷体" w:cs="宋体"/>
                <w:spacing w:val="-2"/>
                <w:szCs w:val="21"/>
                <w:lang w:val="en-US" w:eastAsia="zh-CN"/>
              </w:rPr>
              <w:t>A</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ascii="楷体" w:hAnsi="楷体" w:eastAsia="楷体"/>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p>
          <w:p>
            <w:pPr>
              <w:jc w:val="left"/>
              <w:rPr>
                <w:rFonts w:ascii="楷体" w:hAnsi="楷体" w:eastAsia="楷体"/>
                <w:szCs w:val="21"/>
              </w:rPr>
            </w:pPr>
            <w:r>
              <w:rPr>
                <w:rFonts w:hint="eastAsia" w:ascii="楷体" w:hAnsi="楷体" w:eastAsia="楷体" w:cs="宋体"/>
                <w:spacing w:val="-2"/>
                <w:szCs w:val="21"/>
              </w:rPr>
              <w:t>E</w:t>
            </w:r>
            <w:r>
              <w:rPr>
                <w:rFonts w:hint="eastAsia" w:ascii="楷体" w:hAnsi="楷体" w:eastAsia="楷体" w:cs="宋体"/>
                <w:spacing w:val="-2"/>
                <w:szCs w:val="21"/>
                <w:lang w:val="en-US" w:eastAsia="zh-CN"/>
              </w:rPr>
              <w:t>50</w:t>
            </w:r>
            <w:r>
              <w:rPr>
                <w:rFonts w:hint="eastAsia" w:ascii="楷体" w:hAnsi="楷体" w:eastAsia="楷体" w:cs="宋体"/>
                <w:spacing w:val="-2"/>
                <w:szCs w:val="21"/>
              </w:rPr>
              <w:t>份额个人投资者</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元，追加金额为1元的整数倍</w:t>
            </w:r>
            <w:r>
              <w:rPr>
                <w:rFonts w:hint="eastAsia" w:ascii="楷体" w:hAnsi="楷体" w:eastAsia="楷体"/>
                <w:szCs w:val="21"/>
                <w:lang w:eastAsia="zh-CN"/>
              </w:rPr>
              <w:t>，</w:t>
            </w:r>
            <w:r>
              <w:rPr>
                <w:rFonts w:hint="eastAsia" w:ascii="楷体" w:hAnsi="楷体" w:eastAsia="楷体"/>
                <w:szCs w:val="21"/>
              </w:rPr>
              <w:t>机构投资者购买起点金额为100万元，追加金额为1万元的整数倍；</w:t>
            </w:r>
          </w:p>
          <w:p>
            <w:pPr>
              <w:jc w:val="left"/>
              <w:rPr>
                <w:rFonts w:hint="eastAsia" w:ascii="楷体" w:hAnsi="楷体" w:eastAsia="楷体"/>
                <w:szCs w:val="21"/>
              </w:rPr>
            </w:pPr>
            <w:r>
              <w:rPr>
                <w:rFonts w:hint="eastAsia" w:ascii="楷体" w:hAnsi="楷体" w:eastAsia="楷体"/>
                <w:szCs w:val="21"/>
              </w:rPr>
              <w:t>F份额购买起点金额为1万元，追加金额为1万元的整数倍;</w:t>
            </w:r>
          </w:p>
          <w:p>
            <w:pPr>
              <w:jc w:val="left"/>
              <w:rPr>
                <w:rFonts w:hint="eastAsia" w:ascii="楷体" w:hAnsi="楷体" w:eastAsia="楷体"/>
                <w:szCs w:val="21"/>
                <w:lang w:eastAsia="zh-CN"/>
              </w:rPr>
            </w:pPr>
            <w:r>
              <w:rPr>
                <w:rFonts w:hint="eastAsia" w:ascii="楷体" w:hAnsi="楷体" w:eastAsia="楷体"/>
                <w:szCs w:val="21"/>
              </w:rPr>
              <w:t>G份额</w:t>
            </w:r>
            <w:r>
              <w:rPr>
                <w:rFonts w:hint="eastAsia" w:ascii="楷体" w:hAnsi="楷体" w:eastAsia="楷体"/>
                <w:szCs w:val="21"/>
                <w:lang w:val="en-US" w:eastAsia="zh-CN"/>
              </w:rPr>
              <w:t>个人投资者</w:t>
            </w:r>
            <w:r>
              <w:rPr>
                <w:rFonts w:hint="eastAsia" w:ascii="楷体" w:hAnsi="楷体" w:eastAsia="楷体"/>
                <w:szCs w:val="21"/>
              </w:rPr>
              <w:t>购买起点金额为1万元，追加金额为1万元的整数倍</w:t>
            </w:r>
            <w:r>
              <w:rPr>
                <w:rFonts w:hint="eastAsia" w:ascii="楷体" w:hAnsi="楷体" w:eastAsia="楷体"/>
                <w:szCs w:val="21"/>
                <w:lang w:eastAsia="zh-CN"/>
              </w:rPr>
              <w:t>，</w:t>
            </w:r>
          </w:p>
          <w:p>
            <w:pPr>
              <w:jc w:val="left"/>
              <w:rPr>
                <w:rFonts w:hint="eastAsia" w:ascii="楷体" w:hAnsi="楷体" w:eastAsia="楷体"/>
                <w:szCs w:val="21"/>
              </w:rPr>
            </w:pPr>
            <w:r>
              <w:rPr>
                <w:rFonts w:hint="eastAsia" w:ascii="楷体" w:hAnsi="楷体" w:eastAsia="楷体"/>
                <w:szCs w:val="21"/>
              </w:rPr>
              <w:t>机构投资者购买起点金额为</w:t>
            </w:r>
            <w:r>
              <w:rPr>
                <w:rFonts w:hint="eastAsia" w:ascii="楷体" w:hAnsi="楷体" w:eastAsia="楷体"/>
                <w:szCs w:val="21"/>
                <w:lang w:val="en-US" w:eastAsia="zh-CN"/>
              </w:rPr>
              <w:t>5000</w:t>
            </w:r>
            <w:r>
              <w:rPr>
                <w:rFonts w:hint="eastAsia" w:ascii="楷体" w:hAnsi="楷体" w:eastAsia="楷体"/>
                <w:szCs w:val="21"/>
              </w:rPr>
              <w:t>万元，追加金额为1万元的整数倍；</w:t>
            </w:r>
          </w:p>
          <w:p>
            <w:pPr>
              <w:jc w:val="left"/>
              <w:rPr>
                <w:rFonts w:hint="eastAsia" w:ascii="楷体" w:hAnsi="楷体" w:eastAsia="楷体"/>
                <w:szCs w:val="21"/>
              </w:rPr>
            </w:pPr>
            <w:r>
              <w:rPr>
                <w:rFonts w:hint="eastAsia" w:ascii="楷体" w:hAnsi="楷体" w:eastAsia="楷体" w:cs="宋体"/>
                <w:spacing w:val="-2"/>
                <w:szCs w:val="21"/>
                <w:lang w:val="en-US" w:eastAsia="zh-CN"/>
              </w:rPr>
              <w:t>S</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H</w:t>
            </w:r>
            <w:r>
              <w:rPr>
                <w:rFonts w:hint="eastAsia" w:ascii="楷体" w:hAnsi="楷体" w:eastAsia="楷体" w:cs="宋体"/>
                <w:spacing w:val="-2"/>
                <w:szCs w:val="21"/>
              </w:rPr>
              <w:t>份额</w:t>
            </w:r>
            <w:r>
              <w:rPr>
                <w:rFonts w:hint="eastAsia" w:ascii="楷体" w:hAnsi="楷体" w:eastAsia="楷体"/>
                <w:szCs w:val="21"/>
              </w:rPr>
              <w:t>购买起点金额为1</w:t>
            </w:r>
            <w:r>
              <w:rPr>
                <w:rFonts w:hint="eastAsia" w:ascii="楷体" w:hAnsi="楷体" w:eastAsia="楷体"/>
                <w:szCs w:val="21"/>
                <w:lang w:val="en-US" w:eastAsia="zh-CN"/>
              </w:rPr>
              <w:t>0万</w:t>
            </w:r>
            <w:r>
              <w:rPr>
                <w:rFonts w:hint="eastAsia" w:ascii="楷体" w:hAnsi="楷体" w:eastAsia="楷体"/>
                <w:szCs w:val="21"/>
              </w:rPr>
              <w:t>元，追加金额为1</w:t>
            </w:r>
            <w:r>
              <w:rPr>
                <w:rFonts w:hint="eastAsia" w:ascii="楷体" w:hAnsi="楷体" w:eastAsia="楷体"/>
                <w:szCs w:val="21"/>
                <w:lang w:val="en-US" w:eastAsia="zh-CN"/>
              </w:rPr>
              <w:t>万</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 w:val="21"/>
                <w:szCs w:val="21"/>
                <w:lang w:val="en-US" w:eastAsia="zh-CN"/>
              </w:rPr>
              <w:t>碳账户专享</w:t>
            </w:r>
            <w:r>
              <w:rPr>
                <w:rFonts w:hint="eastAsia" w:ascii="楷体" w:hAnsi="楷体" w:eastAsia="楷体"/>
                <w:szCs w:val="21"/>
              </w:rPr>
              <w:t>份额购买起点金额为1万元，追加金额为1万元的整数倍；</w:t>
            </w:r>
          </w:p>
          <w:p>
            <w:pPr>
              <w:jc w:val="left"/>
              <w:rPr>
                <w:rFonts w:hint="eastAsia" w:ascii="楷体" w:hAnsi="楷体" w:eastAsia="楷体"/>
                <w:szCs w:val="21"/>
                <w:lang w:eastAsia="zh-CN"/>
              </w:rPr>
            </w:pPr>
            <w:r>
              <w:rPr>
                <w:rFonts w:hint="eastAsia" w:ascii="楷体" w:hAnsi="楷体" w:eastAsia="楷体"/>
                <w:szCs w:val="21"/>
                <w:lang w:val="en-US" w:eastAsia="zh-CN"/>
              </w:rPr>
              <w:t>K</w:t>
            </w:r>
            <w:r>
              <w:rPr>
                <w:rFonts w:hint="eastAsia" w:ascii="楷体" w:hAnsi="楷体" w:eastAsia="楷体"/>
                <w:szCs w:val="21"/>
              </w:rPr>
              <w:t>份额购买起点金额为1</w:t>
            </w:r>
            <w:r>
              <w:rPr>
                <w:rFonts w:hint="eastAsia" w:ascii="楷体" w:hAnsi="楷体" w:eastAsia="楷体"/>
                <w:szCs w:val="21"/>
                <w:lang w:val="en-US" w:eastAsia="zh-CN"/>
              </w:rPr>
              <w:t>亿</w:t>
            </w:r>
            <w:r>
              <w:rPr>
                <w:rFonts w:hint="eastAsia" w:ascii="楷体" w:hAnsi="楷体" w:eastAsia="楷体"/>
                <w:szCs w:val="21"/>
              </w:rPr>
              <w:t>元，追加金额为1万元的整数倍；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5万</w:t>
            </w:r>
            <w:r>
              <w:rPr>
                <w:rFonts w:hint="eastAsia" w:ascii="楷体" w:hAnsi="楷体" w:eastAsia="楷体"/>
                <w:szCs w:val="21"/>
              </w:rPr>
              <w:t>元，追加金额为1</w:t>
            </w:r>
            <w:r>
              <w:rPr>
                <w:rFonts w:hint="eastAsia" w:ascii="楷体" w:hAnsi="楷体" w:eastAsia="楷体"/>
                <w:szCs w:val="21"/>
                <w:lang w:val="en-US" w:eastAsia="zh-CN"/>
              </w:rPr>
              <w:t>万</w:t>
            </w:r>
            <w:r>
              <w:rPr>
                <w:rFonts w:hint="eastAsia" w:ascii="楷体" w:hAnsi="楷体" w:eastAsia="楷体"/>
                <w:szCs w:val="21"/>
              </w:rPr>
              <w:t>元的整数倍；</w:t>
            </w:r>
          </w:p>
          <w:p>
            <w:pPr>
              <w:jc w:val="left"/>
              <w:rPr>
                <w:rFonts w:hint="eastAsia" w:ascii="楷体" w:hAnsi="楷体" w:eastAsia="楷体"/>
                <w:szCs w:val="21"/>
              </w:rPr>
            </w:pPr>
            <w:r>
              <w:rPr>
                <w:rFonts w:hint="eastAsia" w:ascii="楷体" w:hAnsi="楷体" w:eastAsia="楷体" w:cs="宋体"/>
                <w:spacing w:val="-2"/>
                <w:sz w:val="21"/>
                <w:szCs w:val="21"/>
              </w:rPr>
              <w:t>芙蓉锦程·优选份额</w:t>
            </w:r>
            <w:r>
              <w:rPr>
                <w:rFonts w:hint="eastAsia" w:ascii="楷体" w:hAnsi="楷体" w:eastAsia="楷体"/>
                <w:szCs w:val="21"/>
              </w:rPr>
              <w:t>购买起点金额为1元，追加金额为1元的整数倍；</w:t>
            </w:r>
          </w:p>
          <w:p>
            <w:pPr>
              <w:jc w:val="left"/>
              <w:rPr>
                <w:rFonts w:hint="eastAsia" w:ascii="楷体" w:hAnsi="楷体" w:eastAsia="楷体"/>
                <w:szCs w:val="21"/>
              </w:rPr>
            </w:pPr>
            <w:r>
              <w:rPr>
                <w:rFonts w:hint="eastAsia" w:ascii="楷体" w:hAnsi="楷体" w:eastAsia="楷体" w:cs="宋体"/>
                <w:spacing w:val="-2"/>
                <w:szCs w:val="21"/>
                <w:lang w:val="en-US" w:eastAsia="zh-CN"/>
              </w:rPr>
              <w:t>Z</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Q</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JS鑫福款</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P</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I</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鑫福款</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JS鑫福优享</w:t>
            </w:r>
            <w:r>
              <w:rPr>
                <w:rFonts w:hint="eastAsia" w:ascii="楷体" w:hAnsi="楷体" w:eastAsia="楷体" w:cs="宋体"/>
                <w:spacing w:val="-2"/>
                <w:szCs w:val="21"/>
              </w:rPr>
              <w:t>份额</w:t>
            </w:r>
            <w:r>
              <w:rPr>
                <w:rFonts w:hint="eastAsia" w:ascii="楷体" w:hAnsi="楷体" w:eastAsia="楷体"/>
                <w:szCs w:val="21"/>
                <w:lang w:val="en-US" w:eastAsia="zh-CN"/>
              </w:rPr>
              <w:t>个人投资者</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r>
              <w:rPr>
                <w:rFonts w:hint="eastAsia" w:ascii="楷体" w:hAnsi="楷体" w:eastAsia="楷体"/>
                <w:szCs w:val="21"/>
              </w:rPr>
              <w:t>机构投资者购买起点金额为</w:t>
            </w:r>
            <w:r>
              <w:rPr>
                <w:rFonts w:hint="eastAsia" w:ascii="楷体" w:hAnsi="楷体" w:eastAsia="楷体"/>
                <w:szCs w:val="21"/>
                <w:lang w:val="en-US" w:eastAsia="zh-CN"/>
              </w:rPr>
              <w:t>100</w:t>
            </w:r>
            <w:r>
              <w:rPr>
                <w:rFonts w:hint="eastAsia" w:ascii="楷体" w:hAnsi="楷体" w:eastAsia="楷体"/>
                <w:szCs w:val="21"/>
              </w:rPr>
              <w:t>万元，追加金额为1万元的整数倍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JS鑫福尊享</w:t>
            </w:r>
            <w:r>
              <w:rPr>
                <w:rFonts w:hint="eastAsia" w:ascii="楷体" w:hAnsi="楷体" w:eastAsia="楷体" w:cs="宋体"/>
                <w:spacing w:val="-2"/>
                <w:szCs w:val="21"/>
              </w:rPr>
              <w:t>份额</w:t>
            </w:r>
            <w:r>
              <w:rPr>
                <w:rFonts w:hint="eastAsia" w:ascii="楷体" w:hAnsi="楷体" w:eastAsia="楷体"/>
                <w:szCs w:val="21"/>
                <w:lang w:val="en-US" w:eastAsia="zh-CN"/>
              </w:rPr>
              <w:t>个人投资者</w:t>
            </w:r>
            <w:r>
              <w:rPr>
                <w:rFonts w:hint="eastAsia" w:ascii="楷体" w:hAnsi="楷体" w:eastAsia="楷体"/>
                <w:szCs w:val="21"/>
              </w:rPr>
              <w:t>购买起点金额为</w:t>
            </w:r>
            <w:r>
              <w:rPr>
                <w:rFonts w:hint="eastAsia" w:ascii="楷体" w:hAnsi="楷体" w:eastAsia="楷体"/>
                <w:szCs w:val="21"/>
                <w:lang w:val="en-US" w:eastAsia="zh-CN"/>
              </w:rPr>
              <w:t>50</w:t>
            </w:r>
            <w:r>
              <w:rPr>
                <w:rFonts w:hint="eastAsia" w:ascii="楷体" w:hAnsi="楷体" w:eastAsia="楷体"/>
                <w:szCs w:val="21"/>
              </w:rPr>
              <w:t>万元，追加金额为1万元的整数倍</w:t>
            </w:r>
            <w:r>
              <w:rPr>
                <w:rFonts w:hint="eastAsia" w:ascii="楷体" w:hAnsi="楷体" w:eastAsia="楷体"/>
                <w:szCs w:val="21"/>
                <w:lang w:eastAsia="zh-CN"/>
              </w:rPr>
              <w:t>，</w:t>
            </w:r>
            <w:r>
              <w:rPr>
                <w:rFonts w:hint="eastAsia" w:ascii="楷体" w:hAnsi="楷体" w:eastAsia="楷体"/>
                <w:szCs w:val="21"/>
              </w:rPr>
              <w:t>机构投资者购买起点金额为</w:t>
            </w:r>
            <w:r>
              <w:rPr>
                <w:rFonts w:hint="eastAsia" w:ascii="楷体" w:hAnsi="楷体" w:eastAsia="楷体"/>
                <w:szCs w:val="21"/>
                <w:lang w:val="en-US" w:eastAsia="zh-CN"/>
              </w:rPr>
              <w:t>5000</w:t>
            </w:r>
            <w:r>
              <w:rPr>
                <w:rFonts w:hint="eastAsia" w:ascii="楷体" w:hAnsi="楷体" w:eastAsia="楷体"/>
                <w:szCs w:val="21"/>
              </w:rPr>
              <w:t>万元，追加金额为1万元的整数倍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M</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p>
            <w:pPr>
              <w:jc w:val="left"/>
              <w:rPr>
                <w:rFonts w:hint="eastAsia" w:ascii="楷体" w:hAnsi="楷体" w:eastAsia="楷体"/>
                <w:szCs w:val="21"/>
                <w:lang w:val="en-US" w:eastAsia="zh-CN"/>
              </w:rPr>
            </w:pPr>
            <w:r>
              <w:rPr>
                <w:rFonts w:hint="eastAsia" w:ascii="楷体" w:hAnsi="楷体" w:eastAsia="楷体" w:cs="宋体"/>
                <w:spacing w:val="-2"/>
                <w:szCs w:val="21"/>
                <w:lang w:val="en-US" w:eastAsia="zh-CN"/>
              </w:rPr>
              <w:t>N</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1万</w:t>
            </w:r>
            <w:r>
              <w:rPr>
                <w:rFonts w:hint="eastAsia" w:ascii="楷体" w:hAnsi="楷体" w:eastAsia="楷体"/>
                <w:szCs w:val="21"/>
              </w:rPr>
              <w:t>元，追加金额为</w:t>
            </w:r>
            <w:r>
              <w:rPr>
                <w:rFonts w:hint="eastAsia" w:ascii="楷体" w:hAnsi="楷体" w:eastAsia="楷体"/>
                <w:szCs w:val="21"/>
                <w:lang w:val="en-US" w:eastAsia="zh-CN"/>
              </w:rPr>
              <w:t>1万</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rPr>
            </w:pPr>
            <w:r>
              <w:rPr>
                <w:rFonts w:hint="eastAsia" w:ascii="楷体" w:hAnsi="楷体" w:eastAsia="楷体"/>
                <w:szCs w:val="21"/>
                <w:lang w:val="en-US" w:eastAsia="zh-CN"/>
              </w:rPr>
              <w:t>购买</w:t>
            </w:r>
            <w:r>
              <w:rPr>
                <w:rFonts w:hint="eastAsia" w:ascii="楷体" w:hAnsi="楷体" w:eastAsia="楷体"/>
                <w:szCs w:val="21"/>
              </w:rPr>
              <w:t>起点/追加金额具体以</w:t>
            </w:r>
            <w:r>
              <w:rPr>
                <w:rFonts w:hint="eastAsia" w:ascii="楷体" w:hAnsi="楷体" w:eastAsia="楷体"/>
                <w:szCs w:val="21"/>
                <w:lang w:val="en-US" w:eastAsia="zh-CN"/>
              </w:rPr>
              <w:t>销售</w:t>
            </w:r>
            <w:r>
              <w:rPr>
                <w:rFonts w:hint="eastAsia" w:ascii="楷体" w:hAnsi="楷体" w:eastAsia="楷体"/>
                <w:szCs w:val="21"/>
              </w:rPr>
              <w:t>机构设置为准。认购资金的清算和认购份额的计算详见下文“八、产品认购”。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83"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单一投资者单日累计认</w:t>
            </w:r>
            <w:r>
              <w:rPr>
                <w:rFonts w:hint="eastAsia" w:ascii="楷体" w:hAnsi="楷体" w:eastAsia="楷体" w:cs="宋体"/>
                <w:b/>
                <w:spacing w:val="-2"/>
                <w:sz w:val="21"/>
                <w:szCs w:val="21"/>
                <w:lang w:val="en-US" w:eastAsia="zh-CN"/>
              </w:rPr>
              <w:t>购</w:t>
            </w:r>
            <w:r>
              <w:rPr>
                <w:rFonts w:hint="eastAsia" w:ascii="楷体" w:hAnsi="楷体" w:eastAsia="楷体" w:cs="宋体"/>
                <w:b/>
                <w:spacing w:val="-2"/>
                <w:sz w:val="21"/>
                <w:szCs w:val="21"/>
              </w:rPr>
              <w:t>/申购上限</w:t>
            </w:r>
          </w:p>
        </w:tc>
        <w:tc>
          <w:tcPr>
            <w:tcW w:w="6468" w:type="dxa"/>
            <w:noWrap w:val="0"/>
            <w:vAlign w:val="center"/>
          </w:tcPr>
          <w:p>
            <w:pPr>
              <w:pStyle w:val="33"/>
              <w:kinsoku w:val="0"/>
              <w:overflowPunct w:val="0"/>
              <w:spacing w:before="12"/>
              <w:ind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暂无</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超过</w:t>
            </w:r>
            <w:r>
              <w:rPr>
                <w:rFonts w:hint="eastAsia" w:ascii="楷体" w:hAnsi="楷体" w:eastAsia="楷体" w:cs="宋体"/>
                <w:spacing w:val="-2"/>
                <w:sz w:val="21"/>
                <w:szCs w:val="21"/>
                <w:lang w:val="en-US" w:eastAsia="zh-CN"/>
              </w:rPr>
              <w:t>单一投资者</w:t>
            </w:r>
            <w:r>
              <w:rPr>
                <w:rFonts w:hint="eastAsia" w:ascii="楷体" w:hAnsi="楷体" w:eastAsia="楷体" w:cs="宋体"/>
                <w:spacing w:val="-2"/>
                <w:sz w:val="21"/>
                <w:szCs w:val="21"/>
              </w:rPr>
              <w:t>单日累计认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/申购上限时，</w:t>
            </w:r>
            <w:r>
              <w:rPr>
                <w:rFonts w:hint="eastAsia" w:ascii="楷体" w:hAnsi="楷体" w:eastAsia="楷体" w:cs="宋体"/>
                <w:spacing w:val="-2"/>
                <w:sz w:val="21"/>
                <w:szCs w:val="21"/>
                <w:lang w:val="en-US" w:eastAsia="zh-CN"/>
              </w:rPr>
              <w:t>管理人有权</w:t>
            </w:r>
            <w:r>
              <w:rPr>
                <w:rFonts w:hint="eastAsia" w:ascii="楷体" w:hAnsi="楷体" w:eastAsia="楷体" w:cs="宋体"/>
                <w:spacing w:val="-2"/>
                <w:sz w:val="21"/>
                <w:szCs w:val="21"/>
              </w:rPr>
              <w:t>拒绝投资者的认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/申购申请。产品存续期</w:t>
            </w:r>
            <w:r>
              <w:rPr>
                <w:rFonts w:ascii="楷体" w:hAnsi="楷体" w:eastAsia="楷体" w:cs="宋体"/>
                <w:spacing w:val="-2"/>
                <w:sz w:val="21"/>
                <w:szCs w:val="21"/>
              </w:rPr>
              <w:t>内管理人有权根据实际情况调整</w:t>
            </w:r>
            <w:r>
              <w:rPr>
                <w:rFonts w:hint="eastAsia" w:ascii="楷体" w:hAnsi="楷体" w:eastAsia="楷体" w:cs="宋体"/>
                <w:spacing w:val="-2"/>
                <w:sz w:val="21"/>
                <w:szCs w:val="21"/>
              </w:rPr>
              <w:t>单日累计认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55"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单个客户持有份额上限</w:t>
            </w:r>
          </w:p>
        </w:tc>
        <w:tc>
          <w:tcPr>
            <w:tcW w:w="6468" w:type="dxa"/>
            <w:noWrap w:val="0"/>
            <w:vAlign w:val="center"/>
          </w:tcPr>
          <w:p>
            <w:pPr>
              <w:ind w:left="59" w:leftChars="0" w:right="73" w:rightChars="35"/>
              <w:rPr>
                <w:rFonts w:hint="eastAsia" w:ascii="楷体" w:hAnsi="楷体" w:eastAsia="楷体" w:cs="宋体"/>
                <w:spacing w:val="-2"/>
                <w:sz w:val="21"/>
                <w:szCs w:val="21"/>
                <w:highlight w:val="none"/>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468" w:type="dxa"/>
            <w:noWrap w:val="0"/>
            <w:vAlign w:val="center"/>
          </w:tcPr>
          <w:p>
            <w:pPr>
              <w:pStyle w:val="33"/>
              <w:kinsoku w:val="0"/>
              <w:overflowPunct w:val="0"/>
              <w:spacing w:before="14"/>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2"/>
              <w:rPr>
                <w:rFonts w:hint="eastAsia" w:ascii="楷体" w:hAnsi="楷体" w:eastAsia="楷体" w:cs="宋体"/>
                <w:spacing w:val="-2"/>
                <w:sz w:val="21"/>
                <w:szCs w:val="21"/>
              </w:rPr>
            </w:pPr>
            <w:r>
              <w:rPr>
                <w:rFonts w:hint="eastAsia" w:ascii="楷体" w:hAnsi="楷体" w:eastAsia="楷体" w:cs="宋体"/>
                <w:b/>
                <w:spacing w:val="-2"/>
                <w:sz w:val="21"/>
                <w:szCs w:val="21"/>
              </w:rPr>
              <w:t>计划发行规模</w:t>
            </w:r>
          </w:p>
        </w:tc>
        <w:tc>
          <w:tcPr>
            <w:tcW w:w="6468" w:type="dxa"/>
            <w:noWrap w:val="0"/>
            <w:vAlign w:val="center"/>
          </w:tcPr>
          <w:p>
            <w:pPr>
              <w:pStyle w:val="33"/>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存续规模上限</w:t>
            </w:r>
            <w:r>
              <w:rPr>
                <w:rFonts w:hint="eastAsia" w:ascii="楷体" w:hAnsi="楷体" w:eastAsia="楷体" w:cs="宋体"/>
                <w:spacing w:val="-2"/>
                <w:sz w:val="21"/>
                <w:szCs w:val="21"/>
                <w:lang w:val="en-US" w:eastAsia="zh-CN"/>
              </w:rPr>
              <w:t>3330</w:t>
            </w:r>
            <w:r>
              <w:rPr>
                <w:rFonts w:hint="eastAsia" w:ascii="楷体" w:hAnsi="楷体" w:eastAsia="楷体" w:cs="宋体"/>
                <w:spacing w:val="-2"/>
                <w:sz w:val="21"/>
                <w:szCs w:val="21"/>
              </w:rPr>
              <w:t>亿元，其中</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份额200亿，</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份额100亿，E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份额600亿,F份额300亿,G份额200亿</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S份额200亿，H份额200亿，碳账户专享份额100亿，K份额30亿，J份额100亿，</w:t>
            </w:r>
            <w:r>
              <w:rPr>
                <w:rFonts w:hint="eastAsia" w:ascii="楷体" w:hAnsi="楷体" w:eastAsia="楷体" w:cs="宋体"/>
                <w:spacing w:val="-2"/>
                <w:sz w:val="21"/>
                <w:szCs w:val="21"/>
              </w:rPr>
              <w:t>芙蓉锦程·优选份额</w:t>
            </w:r>
            <w:r>
              <w:rPr>
                <w:rFonts w:hint="eastAsia" w:ascii="楷体" w:hAnsi="楷体" w:eastAsia="楷体" w:cs="宋体"/>
                <w:spacing w:val="-2"/>
                <w:sz w:val="21"/>
                <w:szCs w:val="21"/>
                <w:lang w:val="en-US" w:eastAsia="zh-CN"/>
              </w:rPr>
              <w:t>100亿，Z份额100亿，Q份额100亿，JS鑫福款份额100亿，</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100亿，北部湾银行专属</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100亿，P份额100亿，I份额100亿，鑫福款份额100亿，JS鑫福优享份额100亿，JS鑫福尊享份额100亿，M份额100亿，N份额100亿</w:t>
            </w:r>
            <w:r>
              <w:rPr>
                <w:rFonts w:hint="eastAsia" w:ascii="楷体" w:hAnsi="楷体" w:eastAsia="楷体" w:cs="宋体"/>
                <w:spacing w:val="-2"/>
                <w:sz w:val="21"/>
                <w:szCs w:val="21"/>
              </w:rPr>
              <w:t>。</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苏银理财有权根据投资运作情况，调整初始募集规模和存续规模。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份额面值</w:t>
            </w:r>
          </w:p>
        </w:tc>
        <w:tc>
          <w:tcPr>
            <w:tcW w:w="6468" w:type="dxa"/>
            <w:noWrap w:val="0"/>
            <w:vAlign w:val="center"/>
          </w:tcPr>
          <w:p>
            <w:pPr>
              <w:pStyle w:val="33"/>
              <w:kinsoku w:val="0"/>
              <w:overflowPunct w:val="0"/>
              <w:spacing w:before="12"/>
              <w:ind w:left="59" w:leftChars="0"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3"/>
              <w:ind w:left="2"/>
              <w:rPr>
                <w:rFonts w:hint="eastAsia" w:ascii="楷体" w:hAnsi="楷体" w:eastAsia="楷体" w:cs="宋体"/>
                <w:b/>
                <w:spacing w:val="-2"/>
                <w:sz w:val="21"/>
                <w:szCs w:val="21"/>
              </w:rPr>
            </w:pPr>
            <w:r>
              <w:rPr>
                <w:rFonts w:hint="eastAsia" w:ascii="楷体" w:hAnsi="楷体" w:eastAsia="楷体" w:cs="宋体"/>
                <w:b/>
                <w:spacing w:val="-2"/>
                <w:sz w:val="21"/>
                <w:szCs w:val="21"/>
              </w:rPr>
              <w:t>募集期</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2018年8月29日9:00到2018年9月3日17:00</w:t>
            </w:r>
          </w:p>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管理人在法律允许的范围内保留延长或提前终止产品募集期的权利。如有变动，实际产品募集期以管理人公告或各销售机构设置的募集时间为准。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投资运作起始日</w:t>
            </w:r>
          </w:p>
        </w:tc>
        <w:tc>
          <w:tcPr>
            <w:tcW w:w="6468" w:type="dxa"/>
            <w:noWrap w:val="0"/>
            <w:vAlign w:val="center"/>
          </w:tcPr>
          <w:p>
            <w:pPr>
              <w:pStyle w:val="33"/>
              <w:kinsoku w:val="0"/>
              <w:overflowPunct w:val="0"/>
              <w:spacing w:before="12"/>
              <w:rPr>
                <w:rFonts w:ascii="楷体" w:hAnsi="楷体" w:eastAsia="楷体" w:cs="宋体"/>
                <w:spacing w:val="-2"/>
                <w:sz w:val="21"/>
                <w:szCs w:val="21"/>
              </w:rPr>
            </w:pPr>
            <w:r>
              <w:rPr>
                <w:rFonts w:hint="eastAsia" w:ascii="楷体" w:hAnsi="楷体" w:eastAsia="楷体" w:cs="宋体"/>
                <w:spacing w:val="-2"/>
                <w:sz w:val="21"/>
                <w:szCs w:val="21"/>
              </w:rPr>
              <w:t>2018年9月4日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封闭运作期</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lang w:eastAsia="zh-CN"/>
              </w:rPr>
            </w:pPr>
            <w:r>
              <w:rPr>
                <w:rFonts w:hint="eastAsia" w:ascii="楷体" w:hAnsi="楷体" w:eastAsia="楷体" w:cs="宋体"/>
                <w:spacing w:val="-2"/>
                <w:sz w:val="21"/>
                <w:szCs w:val="21"/>
              </w:rPr>
              <w:t>2018年9月4日</w:t>
            </w:r>
            <w:r>
              <w:rPr>
                <w:rFonts w:hint="eastAsia" w:ascii="楷体" w:hAnsi="楷体" w:eastAsia="楷体" w:cs="宋体"/>
                <w:spacing w:val="-2"/>
                <w:sz w:val="21"/>
                <w:szCs w:val="21"/>
                <w:lang w:eastAsia="zh-CN"/>
              </w:rPr>
              <w:t>，</w:t>
            </w:r>
            <w:r>
              <w:rPr>
                <w:rFonts w:ascii="楷体" w:hAnsi="楷体" w:eastAsia="楷体" w:cs="宋体"/>
                <w:spacing w:val="-2"/>
                <w:sz w:val="21"/>
                <w:szCs w:val="21"/>
              </w:rPr>
              <w:t>封闭运作期内不可申购/</w:t>
            </w:r>
            <w:r>
              <w:rPr>
                <w:rFonts w:hint="eastAsia" w:ascii="楷体" w:hAnsi="楷体" w:eastAsia="楷体" w:cs="宋体"/>
                <w:spacing w:val="-2"/>
                <w:sz w:val="21"/>
                <w:szCs w:val="21"/>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开放计划</w:t>
            </w:r>
          </w:p>
        </w:tc>
        <w:tc>
          <w:tcPr>
            <w:tcW w:w="6468" w:type="dxa"/>
            <w:noWrap w:val="0"/>
            <w:vAlign w:val="top"/>
          </w:tcPr>
          <w:p>
            <w:pPr>
              <w:pStyle w:val="33"/>
              <w:kinsoku w:val="0"/>
              <w:overflowPunct w:val="0"/>
              <w:spacing w:before="12"/>
              <w:ind w:left="2"/>
              <w:rPr>
                <w:rFonts w:hint="eastAsia" w:ascii="楷体" w:hAnsi="楷体" w:eastAsia="楷体" w:cs="宋体"/>
                <w:spacing w:val="-2"/>
                <w:sz w:val="21"/>
                <w:szCs w:val="21"/>
              </w:rPr>
            </w:pPr>
            <w:r>
              <w:rPr>
                <w:rFonts w:hint="eastAsia" w:ascii="楷体" w:hAnsi="楷体" w:eastAsia="楷体" w:cs="宋体"/>
                <w:spacing w:val="-2"/>
                <w:sz w:val="21"/>
                <w:szCs w:val="21"/>
              </w:rPr>
              <w:t>本产品封闭运作期结束后，自2</w:t>
            </w:r>
            <w:r>
              <w:rPr>
                <w:rFonts w:ascii="楷体" w:hAnsi="楷体" w:eastAsia="楷体" w:cs="宋体"/>
                <w:spacing w:val="-2"/>
                <w:sz w:val="21"/>
                <w:szCs w:val="21"/>
              </w:rPr>
              <w:t>0</w:t>
            </w:r>
            <w:r>
              <w:rPr>
                <w:rFonts w:hint="eastAsia" w:ascii="楷体" w:hAnsi="楷体" w:eastAsia="楷体" w:cs="宋体"/>
                <w:spacing w:val="-2"/>
                <w:sz w:val="21"/>
                <w:szCs w:val="21"/>
              </w:rPr>
              <w:t>18</w:t>
            </w:r>
            <w:r>
              <w:rPr>
                <w:rFonts w:ascii="楷体" w:hAnsi="楷体" w:eastAsia="楷体" w:cs="宋体"/>
                <w:spacing w:val="-2"/>
                <w:sz w:val="21"/>
                <w:szCs w:val="21"/>
              </w:rPr>
              <w:t>年</w:t>
            </w:r>
            <w:r>
              <w:rPr>
                <w:rFonts w:hint="eastAsia" w:ascii="楷体" w:hAnsi="楷体" w:eastAsia="楷体" w:cs="宋体"/>
                <w:spacing w:val="-2"/>
                <w:sz w:val="21"/>
                <w:szCs w:val="21"/>
              </w:rPr>
              <w:t>9月5</w:t>
            </w:r>
            <w:r>
              <w:rPr>
                <w:rFonts w:ascii="楷体" w:hAnsi="楷体" w:eastAsia="楷体" w:cs="宋体"/>
                <w:spacing w:val="-2"/>
                <w:sz w:val="21"/>
                <w:szCs w:val="21"/>
              </w:rPr>
              <w:t>日</w:t>
            </w:r>
            <w:r>
              <w:rPr>
                <w:rFonts w:hint="eastAsia" w:ascii="楷体" w:hAnsi="楷体" w:eastAsia="楷体" w:cs="宋体"/>
                <w:spacing w:val="-2"/>
                <w:sz w:val="21"/>
                <w:szCs w:val="21"/>
              </w:rPr>
              <w:t>起按工作日开放申购，苏银理财可根据资产运作情况、节假日、客户需求调整开放频率，并在调整前通过苏银理财官方网站公告。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bottom w:val="single" w:color="auto" w:sz="4" w:space="0"/>
            </w:tcBorders>
            <w:noWrap w:val="0"/>
            <w:vAlign w:val="center"/>
          </w:tcPr>
          <w:p>
            <w:pPr>
              <w:pStyle w:val="33"/>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工作日</w:t>
            </w:r>
          </w:p>
        </w:tc>
        <w:tc>
          <w:tcPr>
            <w:tcW w:w="6468" w:type="dxa"/>
            <w:tcBorders>
              <w:bottom w:val="single" w:color="auto" w:sz="4" w:space="0"/>
            </w:tcBorders>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pPr>
              <w:pStyle w:val="33"/>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产品申购</w:t>
            </w:r>
          </w:p>
        </w:tc>
        <w:tc>
          <w:tcPr>
            <w:tcW w:w="6468" w:type="dxa"/>
            <w:tcBorders>
              <w:top w:val="single" w:color="auto" w:sz="4" w:space="0"/>
              <w:left w:val="single" w:color="auto" w:sz="4" w:space="0"/>
              <w:bottom w:val="single" w:color="auto" w:sz="4" w:space="0"/>
              <w:right w:val="single" w:color="auto" w:sz="4" w:space="0"/>
            </w:tcBorders>
            <w:noWrap w:val="0"/>
            <w:vAlign w:val="center"/>
          </w:tcPr>
          <w:p>
            <w:pPr>
              <w:ind w:left="59" w:right="44" w:rightChars="21"/>
              <w:jc w:val="left"/>
              <w:rPr>
                <w:rFonts w:hint="eastAsia" w:ascii="楷体" w:hAnsi="楷体" w:eastAsia="楷体" w:cs="宋体"/>
                <w:spacing w:val="-2"/>
                <w:kern w:val="0"/>
                <w:szCs w:val="21"/>
              </w:rPr>
            </w:pPr>
            <w:r>
              <w:rPr>
                <w:rFonts w:hint="eastAsia" w:ascii="楷体" w:hAnsi="楷体" w:eastAsia="楷体" w:cs="宋体"/>
                <w:spacing w:val="-2"/>
                <w:kern w:val="0"/>
                <w:szCs w:val="21"/>
              </w:rPr>
              <w:t>1、开放预约申购为每周四至下周三（以各销售机构设置的预约期为准），其中周三为产品开放日，投资者在非开放日的预约申购申请行为统一视为在产品开放日提交申购申请。申购截止时间不晚于产品开放日17:00（以各销售机构设置的截止时间为准），开放日截止时间前客户提交的申购申请均可以申请撤单。</w:t>
            </w:r>
          </w:p>
          <w:p>
            <w:pPr>
              <w:ind w:left="59" w:right="44" w:rightChars="21"/>
              <w:jc w:val="left"/>
              <w:rPr>
                <w:rFonts w:hint="eastAsia" w:ascii="楷体" w:hAnsi="楷体" w:eastAsia="楷体" w:cs="宋体"/>
                <w:spacing w:val="-2"/>
                <w:kern w:val="0"/>
                <w:szCs w:val="21"/>
              </w:rPr>
            </w:pPr>
            <w:r>
              <w:rPr>
                <w:rFonts w:hint="eastAsia" w:ascii="楷体" w:hAnsi="楷体" w:eastAsia="楷体" w:cs="宋体"/>
                <w:spacing w:val="-2"/>
                <w:kern w:val="0"/>
                <w:szCs w:val="21"/>
              </w:rPr>
              <w:t>2、每周四为份额确认日，开放日受理的申购申请由管理人统一在周四予以确认。</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3、</w:t>
            </w:r>
            <w:r>
              <w:rPr>
                <w:rFonts w:hint="eastAsia" w:ascii="楷体" w:hAnsi="楷体" w:eastAsia="楷体" w:cs="宋体"/>
                <w:b/>
                <w:spacing w:val="-2"/>
                <w:kern w:val="0"/>
                <w:szCs w:val="21"/>
                <w:u w:val="single"/>
              </w:rPr>
              <w:t>若周三</w:t>
            </w:r>
            <w:r>
              <w:rPr>
                <w:rFonts w:hint="eastAsia" w:ascii="楷体" w:hAnsi="楷体" w:eastAsia="楷体" w:cs="宋体"/>
                <w:b/>
                <w:spacing w:val="-2"/>
                <w:kern w:val="0"/>
                <w:szCs w:val="21"/>
                <w:u w:val="single"/>
                <w:lang w:val="en-US" w:eastAsia="zh-CN"/>
              </w:rPr>
              <w:t>或</w:t>
            </w:r>
            <w:r>
              <w:rPr>
                <w:rFonts w:hint="eastAsia" w:ascii="楷体" w:hAnsi="楷体" w:eastAsia="楷体" w:cs="宋体"/>
                <w:b/>
                <w:spacing w:val="-2"/>
                <w:kern w:val="0"/>
                <w:szCs w:val="21"/>
                <w:u w:val="single"/>
              </w:rPr>
              <w:t>周四为非工作日，则开放日和确认日作相应调整，苏银理财将按说明书约定的信息披露方式予以披露，以相关披露内容为准。其他时间苏银理财不接受客户申购申请。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tcBorders>
            <w:noWrap w:val="0"/>
            <w:vAlign w:val="center"/>
          </w:tcPr>
          <w:p>
            <w:pPr>
              <w:pStyle w:val="33"/>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468" w:type="dxa"/>
            <w:tcBorders>
              <w:top w:val="single" w:color="auto" w:sz="4" w:space="0"/>
            </w:tcBorders>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tcBorders>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468" w:type="dxa"/>
            <w:tcBorders>
              <w:top w:val="single" w:color="auto" w:sz="4" w:space="0"/>
            </w:tcBorders>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仅自动赎回。本产品以182天为1个投资周期，客户份额持有时间达到182天，系统自动发起赎回。</w:t>
            </w:r>
            <w:r>
              <w:rPr>
                <w:rFonts w:hint="eastAsia" w:ascii="楷体" w:hAnsi="楷体" w:eastAsia="楷体" w:cs="宋体"/>
                <w:b/>
                <w:spacing w:val="-2"/>
                <w:kern w:val="0"/>
                <w:szCs w:val="21"/>
                <w:u w:val="single"/>
              </w:rPr>
              <w:t>在未按约定运作满足够天数前客户无权提前赎回份额。如份额确认日对应的182天为非工作日，</w:t>
            </w:r>
            <w:r>
              <w:rPr>
                <w:rFonts w:hint="eastAsia" w:ascii="楷体" w:hAnsi="楷体" w:eastAsia="楷体" w:cs="宋体"/>
                <w:b/>
                <w:spacing w:val="-2"/>
                <w:kern w:val="0"/>
                <w:szCs w:val="21"/>
                <w:u w:val="single"/>
                <w:lang w:val="en-US" w:eastAsia="zh-CN"/>
              </w:rPr>
              <w:t>管理人</w:t>
            </w:r>
            <w:r>
              <w:rPr>
                <w:rFonts w:hint="eastAsia" w:ascii="楷体" w:hAnsi="楷体" w:eastAsia="楷体" w:cs="宋体"/>
                <w:b/>
                <w:spacing w:val="-2"/>
                <w:kern w:val="0"/>
                <w:szCs w:val="21"/>
                <w:u w:val="single"/>
              </w:rPr>
              <w:t>将对自动赎回日进行动态调整，以</w:t>
            </w:r>
            <w:r>
              <w:rPr>
                <w:rFonts w:hint="eastAsia" w:ascii="楷体" w:hAnsi="楷体" w:eastAsia="楷体" w:cs="宋体"/>
                <w:b/>
                <w:spacing w:val="-2"/>
                <w:kern w:val="0"/>
                <w:szCs w:val="21"/>
                <w:u w:val="single"/>
                <w:lang w:val="en-US" w:eastAsia="zh-CN"/>
              </w:rPr>
              <w:t>管理人</w:t>
            </w:r>
            <w:r>
              <w:rPr>
                <w:rFonts w:hint="eastAsia" w:ascii="楷体" w:hAnsi="楷体" w:eastAsia="楷体" w:cs="宋体"/>
                <w:b/>
                <w:spacing w:val="-2"/>
                <w:kern w:val="0"/>
                <w:szCs w:val="21"/>
                <w:u w:val="single"/>
              </w:rPr>
              <w:t>的公告和系统设置为准，在此情况情形下投资周期可能会略长于或短于182天</w:t>
            </w:r>
            <w:r>
              <w:rPr>
                <w:rFonts w:hint="eastAsia" w:ascii="楷体" w:hAnsi="楷体" w:eastAsia="楷体" w:cs="宋体"/>
                <w:spacing w:val="-2"/>
                <w:kern w:val="0"/>
                <w:szCs w:val="21"/>
              </w:rPr>
              <w:t>。</w:t>
            </w:r>
            <w:r>
              <w:rPr>
                <w:rFonts w:hint="eastAsia" w:ascii="楷体" w:hAnsi="楷体" w:eastAsia="楷体" w:cs="宋体"/>
                <w:b/>
                <w:color w:val="auto"/>
                <w:spacing w:val="-2"/>
                <w:kern w:val="0"/>
                <w:szCs w:val="21"/>
                <w:highlight w:val="none"/>
                <w:u w:val="single"/>
              </w:rPr>
              <w:t>苏银理财将</w:t>
            </w:r>
            <w:r>
              <w:rPr>
                <w:rFonts w:hint="eastAsia" w:ascii="楷体" w:hAnsi="楷体" w:eastAsia="楷体" w:cs="宋体"/>
                <w:b/>
                <w:color w:val="auto"/>
                <w:spacing w:val="-2"/>
                <w:kern w:val="0"/>
                <w:szCs w:val="21"/>
                <w:highlight w:val="none"/>
                <w:u w:val="single"/>
                <w:lang w:val="en-US" w:eastAsia="zh-CN"/>
              </w:rPr>
              <w:t>提前进行公告，客户可根据自身需要自主选择购买</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rPr>
              <w:t>自动赎回时按实际赎回日前一工作日产品单位净值计算客户赎回兑付金额，自动赎回不受巨额赎回限制。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spacing w:val="-2"/>
                <w:sz w:val="21"/>
                <w:szCs w:val="21"/>
              </w:rPr>
            </w:pPr>
            <w:r>
              <w:rPr>
                <w:rFonts w:hint="eastAsia" w:ascii="楷体" w:hAnsi="楷体" w:eastAsia="楷体" w:cs="宋体"/>
                <w:b/>
                <w:spacing w:val="-2"/>
                <w:sz w:val="21"/>
                <w:szCs w:val="21"/>
              </w:rPr>
              <w:t>认购/申购资金的清算</w:t>
            </w:r>
          </w:p>
        </w:tc>
        <w:tc>
          <w:tcPr>
            <w:tcW w:w="6468"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1、投资者提出认购/申购申请后，投资者认购/申购资金将会冻结在投资者资金账户上。冻结期间资金利息根据《理财产品（代理）销售协议书》相关条款确定。</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2、管理人在份额确认日通知销售机构扣划投资者认购/申购资金，投资者应在扣款前保证资金账户中拥有足够可用余额。因投资者资金账户余额不足、司法冻结、不可抗力因素或其他不可归责于苏银理财和销售机构的事由出现，造成扣款失败，认购/申购申请未被确认的，苏银理财和销售机构不承担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认购/申购份额的计算</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详见下文“十、产品运作”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赎回资金的清算</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投资者赎回资金将在赎回申请确认日后2个工作日内到达投资者资金账户。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赎回金额的计算</w:t>
            </w:r>
          </w:p>
        </w:tc>
        <w:tc>
          <w:tcPr>
            <w:tcW w:w="6468" w:type="dxa"/>
            <w:noWrap w:val="0"/>
            <w:vAlign w:val="center"/>
          </w:tcPr>
          <w:p>
            <w:pPr>
              <w:pStyle w:val="33"/>
              <w:kinsoku w:val="0"/>
              <w:overflowPunct w:val="0"/>
              <w:spacing w:before="12"/>
              <w:rPr>
                <w:rFonts w:hint="eastAsia" w:ascii="楷体" w:hAnsi="楷体" w:eastAsia="楷体" w:cs="宋体"/>
                <w:spacing w:val="-2"/>
                <w:sz w:val="21"/>
                <w:szCs w:val="21"/>
              </w:rPr>
            </w:pPr>
            <w:r>
              <w:rPr>
                <w:rFonts w:hint="eastAsia" w:ascii="楷体" w:hAnsi="楷体" w:eastAsia="楷体" w:cs="宋体"/>
                <w:b/>
                <w:bCs/>
                <w:spacing w:val="-2"/>
                <w:sz w:val="21"/>
                <w:szCs w:val="21"/>
                <w:u w:val="single"/>
              </w:rPr>
              <w:t>投资者持仓份额的产品净值可能含有未收取的超额业绩报酬，自动赎回兑付金额以实际入账金额为准。</w:t>
            </w:r>
            <w:r>
              <w:rPr>
                <w:rFonts w:hint="eastAsia" w:ascii="楷体" w:hAnsi="楷体" w:eastAsia="楷体" w:cs="宋体"/>
                <w:spacing w:val="-2"/>
                <w:sz w:val="21"/>
                <w:szCs w:val="21"/>
              </w:rPr>
              <w:t>详见下文“十、产品运作”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终止日</w:t>
            </w:r>
          </w:p>
        </w:tc>
        <w:tc>
          <w:tcPr>
            <w:tcW w:w="6468" w:type="dxa"/>
            <w:noWrap w:val="0"/>
            <w:vAlign w:val="center"/>
          </w:tcPr>
          <w:p>
            <w:pPr>
              <w:pStyle w:val="33"/>
              <w:rPr>
                <w:rFonts w:hint="eastAsia" w:ascii="楷体" w:hAnsi="楷体" w:eastAsia="楷体" w:cs="宋体"/>
                <w:spacing w:val="-2"/>
                <w:sz w:val="21"/>
                <w:szCs w:val="21"/>
              </w:rPr>
            </w:pPr>
            <w:r>
              <w:rPr>
                <w:rFonts w:hint="eastAsia" w:ascii="楷体" w:hAnsi="楷体" w:eastAsia="楷体" w:cs="宋体"/>
                <w:spacing w:val="-2"/>
                <w:sz w:val="21"/>
                <w:szCs w:val="21"/>
              </w:rPr>
              <w:t>2038年9月3日（如遇节假日，顺延至下一工作日）</w:t>
            </w:r>
          </w:p>
          <w:p>
            <w:pPr>
              <w:pStyle w:val="33"/>
              <w:rPr>
                <w:rFonts w:hint="eastAsia"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w:t>
            </w:r>
            <w:r>
              <w:rPr>
                <w:rFonts w:hint="eastAsia" w:ascii="楷体" w:hAnsi="楷体" w:eastAsia="楷体" w:cs="宋体"/>
                <w:spacing w:val="-2"/>
                <w:sz w:val="21"/>
                <w:szCs w:val="21"/>
                <w:lang w:val="en-US" w:eastAsia="zh-CN"/>
              </w:rPr>
              <w:t>一</w:t>
            </w:r>
            <w:r>
              <w:rPr>
                <w:rFonts w:hint="eastAsia" w:ascii="楷体" w:hAnsi="楷体" w:eastAsia="楷体" w:cs="宋体"/>
                <w:spacing w:val="-2"/>
                <w:sz w:val="21"/>
                <w:szCs w:val="21"/>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6" w:hRule="atLeast"/>
          <w:jc w:val="center"/>
        </w:trPr>
        <w:tc>
          <w:tcPr>
            <w:tcW w:w="1848" w:type="dxa"/>
            <w:noWrap w:val="0"/>
            <w:vAlign w:val="center"/>
          </w:tcPr>
          <w:p>
            <w:pPr>
              <w:pStyle w:val="33"/>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468" w:type="dxa"/>
            <w:noWrap w:val="0"/>
            <w:vAlign w:val="center"/>
          </w:tcPr>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2.20%-3.00%</w:t>
            </w:r>
          </w:p>
          <w:p>
            <w:pPr>
              <w:pStyle w:val="33"/>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2.25%-3.05%</w:t>
            </w:r>
          </w:p>
          <w:p>
            <w:pPr>
              <w:pStyle w:val="33"/>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2.25%-3.05%</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rPr>
              <w:t>F份额：</w:t>
            </w:r>
            <w:r>
              <w:rPr>
                <w:rFonts w:hint="eastAsia" w:ascii="楷体" w:hAnsi="楷体" w:eastAsia="楷体" w:cs="宋体"/>
                <w:spacing w:val="-2"/>
                <w:sz w:val="21"/>
                <w:szCs w:val="21"/>
                <w:lang w:val="en-US" w:eastAsia="zh-CN"/>
              </w:rPr>
              <w:t>2.25%-3.05%</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rPr>
              <w:t>G份额：</w:t>
            </w:r>
            <w:r>
              <w:rPr>
                <w:rFonts w:hint="eastAsia" w:ascii="楷体" w:hAnsi="楷体" w:eastAsia="楷体" w:cs="宋体"/>
                <w:spacing w:val="-2"/>
                <w:sz w:val="21"/>
                <w:szCs w:val="21"/>
                <w:lang w:val="en-US" w:eastAsia="zh-CN"/>
              </w:rPr>
              <w:t>2.30%-3.10%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S份额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碳账户专享份额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K份额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2.35%-3.15%</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芙蓉锦程·优选份额</w:t>
            </w:r>
            <w:r>
              <w:rPr>
                <w:rFonts w:hint="eastAsia" w:ascii="楷体" w:hAnsi="楷体" w:eastAsia="楷体" w:cs="宋体"/>
                <w:spacing w:val="-2"/>
                <w:sz w:val="21"/>
                <w:szCs w:val="21"/>
                <w:lang w:val="en-US" w:eastAsia="zh-CN"/>
              </w:rPr>
              <w:t>：2.10%-2.90%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Z份额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Q份额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JS鑫福款份额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2.35%-3.15%</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2.15%-2.95%</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I份额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3"/>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3"/>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M份额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3"/>
              <w:spacing w:before="37" w:line="273" w:lineRule="auto"/>
              <w:ind w:right="10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3"/>
              <w:spacing w:before="37" w:line="273" w:lineRule="auto"/>
              <w:ind w:left="103" w:right="103"/>
              <w:rPr>
                <w:rFonts w:hint="eastAsia" w:ascii="楷体" w:hAnsi="楷体" w:eastAsia="楷体" w:cs="宋体"/>
                <w:spacing w:val="-2"/>
                <w:sz w:val="21"/>
                <w:szCs w:val="21"/>
              </w:rPr>
            </w:pPr>
            <w:r>
              <w:rPr>
                <w:rFonts w:hint="eastAsia" w:ascii="楷体" w:hAnsi="楷体" w:eastAsia="楷体" w:cs="宋体"/>
                <w:b/>
                <w:spacing w:val="-2"/>
                <w:sz w:val="21"/>
                <w:szCs w:val="21"/>
                <w:u w:val="single"/>
              </w:rPr>
              <w:t>产品存续期内管理人有权根据产品投资运作情况、市场情况调整业绩比较基准，并至少于调整前</w:t>
            </w:r>
            <w:r>
              <w:rPr>
                <w:rFonts w:hint="eastAsia" w:ascii="楷体" w:hAnsi="楷体" w:eastAsia="楷体" w:cs="宋体"/>
                <w:b/>
                <w:spacing w:val="-2"/>
                <w:sz w:val="21"/>
                <w:szCs w:val="21"/>
                <w:u w:val="single"/>
                <w:lang w:val="en-US" w:eastAsia="zh-CN"/>
              </w:rPr>
              <w:t>2</w:t>
            </w:r>
            <w:r>
              <w:rPr>
                <w:rFonts w:hint="eastAsia" w:ascii="楷体" w:hAnsi="楷体" w:eastAsia="楷体" w:cs="宋体"/>
                <w:b/>
                <w:spacing w:val="-2"/>
                <w:sz w:val="21"/>
                <w:szCs w:val="21"/>
                <w:u w:val="single"/>
              </w:rPr>
              <w:t>个工作日发布调整公告，如有调整以管理人公告为准。调整后的产品业绩比较基准适用于新确认份额，为管理人新设定的投资目标。</w:t>
            </w:r>
          </w:p>
          <w:p>
            <w:pPr>
              <w:pStyle w:val="33"/>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w:t>
            </w:r>
            <w:r>
              <w:rPr>
                <w:rFonts w:hint="eastAsia" w:ascii="楷体" w:hAnsi="楷体" w:eastAsia="楷体" w:cs="宋体"/>
                <w:spacing w:val="-2"/>
                <w:sz w:val="21"/>
                <w:szCs w:val="21"/>
              </w:rPr>
              <w:t>，综合考虑各份额收取的</w:t>
            </w:r>
            <w:r>
              <w:rPr>
                <w:rFonts w:hint="eastAsia" w:ascii="楷体" w:hAnsi="楷体" w:eastAsia="楷体" w:cs="宋体"/>
                <w:spacing w:val="-2"/>
                <w:sz w:val="21"/>
                <w:szCs w:val="21"/>
                <w:lang w:val="en-US" w:eastAsia="zh-CN"/>
              </w:rPr>
              <w:t>费用</w:t>
            </w:r>
            <w:r>
              <w:rPr>
                <w:rFonts w:hint="eastAsia" w:ascii="楷体" w:hAnsi="楷体" w:eastAsia="楷体" w:cs="宋体"/>
                <w:spacing w:val="-2"/>
                <w:sz w:val="21"/>
                <w:szCs w:val="21"/>
              </w:rPr>
              <w:t>情况，</w:t>
            </w:r>
            <w:r>
              <w:rPr>
                <w:rFonts w:ascii="楷体" w:hAnsi="楷体" w:eastAsia="楷体" w:cs="宋体"/>
                <w:spacing w:val="-2"/>
                <w:sz w:val="21"/>
                <w:szCs w:val="21"/>
              </w:rPr>
              <w:t>模拟测算得出</w:t>
            </w:r>
            <w:r>
              <w:rPr>
                <w:rFonts w:hint="eastAsia" w:ascii="楷体" w:hAnsi="楷体" w:eastAsia="楷体" w:cs="宋体"/>
                <w:spacing w:val="-2"/>
                <w:sz w:val="21"/>
                <w:szCs w:val="21"/>
              </w:rPr>
              <w:t>业绩比较基准。）</w:t>
            </w:r>
          </w:p>
          <w:p>
            <w:pPr>
              <w:pStyle w:val="33"/>
              <w:kinsoku w:val="0"/>
              <w:overflowPunct w:val="0"/>
              <w:spacing w:before="37" w:line="273" w:lineRule="auto"/>
              <w:ind w:right="103"/>
              <w:rPr>
                <w:rFonts w:ascii="楷体" w:hAnsi="楷体" w:eastAsia="楷体" w:cs="宋体"/>
                <w:spacing w:val="-2"/>
                <w:sz w:val="21"/>
                <w:szCs w:val="21"/>
              </w:rPr>
            </w:pPr>
            <w:r>
              <w:rPr>
                <w:rFonts w:hint="eastAsia" w:ascii="楷体" w:hAnsi="楷体" w:eastAsia="楷体" w:cs="宋体"/>
                <w:b/>
                <w:spacing w:val="-2"/>
                <w:sz w:val="21"/>
                <w:szCs w:val="21"/>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3"/>
              <w:kinsoku w:val="0"/>
              <w:overflowPunct w:val="0"/>
              <w:spacing w:before="18"/>
              <w:ind w:left="4"/>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468" w:type="dxa"/>
            <w:noWrap w:val="0"/>
            <w:vAlign w:val="center"/>
          </w:tcPr>
          <w:p>
            <w:pPr>
              <w:jc w:val="left"/>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本产品费用包括托管费、销售服务费、投资管理费和超额业绩报酬（若有）以及产品运作和清算中产生的其他费用等。</w:t>
            </w:r>
          </w:p>
          <w:p>
            <w:pPr>
              <w:ind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ind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/Z/Q/</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-尊享款/北部湾银行专属/P/I份额为0.30%/年，其他份额为</w:t>
            </w:r>
            <w:r>
              <w:rPr>
                <w:rFonts w:hint="eastAsia" w:ascii="楷体" w:hAnsi="楷体" w:eastAsia="楷体" w:cs="宋体"/>
                <w:spacing w:val="-2"/>
                <w:szCs w:val="21"/>
              </w:rPr>
              <w:t>0.20%/年；</w:t>
            </w:r>
          </w:p>
          <w:p>
            <w:pPr>
              <w:ind w:right="115" w:rightChars="55"/>
              <w:rPr>
                <w:rFonts w:hint="eastAsia" w:ascii="楷体" w:hAnsi="楷体" w:eastAsia="楷体" w:cs="宋体"/>
                <w:spacing w:val="-2"/>
                <w:szCs w:val="21"/>
              </w:rPr>
            </w:pPr>
            <w:r>
              <w:rPr>
                <w:rFonts w:hint="eastAsia" w:ascii="楷体" w:hAnsi="楷体" w:eastAsia="楷体" w:cs="宋体"/>
                <w:spacing w:val="-2"/>
                <w:szCs w:val="21"/>
              </w:rPr>
              <w:t>3．投资管理费率：0.50%/年。</w:t>
            </w:r>
          </w:p>
          <w:p>
            <w:pPr>
              <w:ind w:right="115" w:rightChars="55"/>
              <w:rPr>
                <w:rFonts w:ascii="楷体" w:hAnsi="楷体" w:eastAsia="楷体" w:cs="宋体"/>
                <w:spacing w:val="-2"/>
                <w:szCs w:val="21"/>
              </w:rPr>
            </w:pPr>
            <w:r>
              <w:rPr>
                <w:rFonts w:hint="eastAsia" w:ascii="楷体" w:hAnsi="楷体" w:eastAsia="楷体" w:cs="宋体"/>
                <w:spacing w:val="-2"/>
                <w:szCs w:val="21"/>
              </w:rPr>
              <w:t>4. 超额业绩报酬</w:t>
            </w:r>
            <w:r>
              <w:rPr>
                <w:rFonts w:hint="eastAsia" w:ascii="楷体" w:hAnsi="楷体" w:eastAsia="楷体" w:cs="宋体"/>
                <w:spacing w:val="-2"/>
                <w:szCs w:val="21"/>
                <w:highlight w:val="none"/>
                <w:lang w:val="en-US" w:eastAsia="zh-CN"/>
              </w:rPr>
              <w:t>：管理人按投资周期收取超额业绩报酬，若各份额单一投资周期的产品实际投资收益在扣除托管费、销售服务费、投资管理费以及运作产品所必须缴纳的税费后超过各份额业绩比较基准下限，产品管理人将按照超出部分的50%收取超额业绩报酬。</w:t>
            </w:r>
          </w:p>
          <w:p>
            <w:pPr>
              <w:ind w:right="115" w:rightChars="55"/>
              <w:rPr>
                <w:rFonts w:ascii="楷体" w:hAnsi="楷体" w:eastAsia="楷体"/>
                <w:sz w:val="24"/>
                <w:szCs w:val="24"/>
              </w:rPr>
            </w:pPr>
            <w:r>
              <w:rPr>
                <w:rFonts w:hint="eastAsia" w:ascii="楷体" w:hAnsi="楷体" w:eastAsia="楷体" w:cs="宋体"/>
                <w:spacing w:val="-2"/>
                <w:szCs w:val="21"/>
                <w:highlight w:val="none"/>
              </w:rPr>
              <w:t>产品存续期内</w:t>
            </w:r>
            <w:r>
              <w:rPr>
                <w:rFonts w:hint="eastAsia" w:ascii="楷体" w:hAnsi="楷体" w:eastAsia="楷体" w:cs="宋体"/>
                <w:spacing w:val="-2"/>
                <w:szCs w:val="21"/>
                <w:highlight w:val="none"/>
                <w:lang w:eastAsia="zh-CN"/>
              </w:rPr>
              <w:t>，</w:t>
            </w:r>
            <w:r>
              <w:rPr>
                <w:rFonts w:hint="eastAsia" w:ascii="楷体" w:hAnsi="楷体" w:eastAsia="楷体" w:cs="宋体"/>
                <w:spacing w:val="-2"/>
                <w:szCs w:val="21"/>
                <w:highlight w:val="none"/>
                <w:lang w:val="en-US" w:eastAsia="zh-CN"/>
              </w:rPr>
              <w:t>若市场情况发生重大变化，或因维护本产品正常运作需要等情形，</w:t>
            </w:r>
            <w:r>
              <w:rPr>
                <w:rFonts w:hint="eastAsia" w:ascii="楷体" w:hAnsi="楷体" w:eastAsia="楷体" w:cs="宋体"/>
                <w:spacing w:val="-2"/>
                <w:szCs w:val="21"/>
                <w:highlight w:val="none"/>
              </w:rPr>
              <w:t>苏银理财可对产品费用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highlight w:val="none"/>
              </w:rPr>
              <w:t>，</w:t>
            </w:r>
            <w:r>
              <w:rPr>
                <w:rFonts w:hint="eastAsia" w:ascii="楷体" w:hAnsi="楷体" w:eastAsia="楷体" w:cs="宋体"/>
                <w:spacing w:val="-2"/>
                <w:szCs w:val="21"/>
                <w:highlight w:val="none"/>
                <w:lang w:val="en-US" w:eastAsia="zh-CN"/>
              </w:rPr>
              <w:t>管理人将提前2个工作日通过苏银理财有限责任公司官方网站（www.suyinwealth.com）以及销售机构进行公告</w:t>
            </w:r>
            <w:r>
              <w:rPr>
                <w:rFonts w:hint="eastAsia" w:ascii="楷体" w:hAnsi="楷体" w:eastAsia="楷体" w:cs="宋体"/>
                <w:spacing w:val="-2"/>
                <w:szCs w:val="21"/>
                <w:highlight w:val="none"/>
              </w:rPr>
              <w:t>。</w:t>
            </w:r>
          </w:p>
        </w:tc>
      </w:tr>
    </w:tbl>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lang w:val="en-US" w:eastAsia="zh-CN"/>
        </w:rPr>
        <w:t>监管机构</w:t>
      </w:r>
      <w:r>
        <w:rPr>
          <w:rFonts w:hint="eastAsia" w:ascii="楷体" w:hAnsi="楷体" w:eastAsia="楷体"/>
          <w:sz w:val="24"/>
          <w:szCs w:val="24"/>
        </w:rPr>
        <w:t>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金额上限、认购资金的最</w:t>
      </w:r>
      <w:r>
        <w:rPr>
          <w:rFonts w:hint="eastAsia" w:ascii="楷体" w:hAnsi="楷体" w:eastAsia="楷体" w:cs="Calibri"/>
          <w:sz w:val="24"/>
          <w:szCs w:val="24"/>
          <w:lang w:val="en-US" w:eastAsia="zh-CN"/>
        </w:rPr>
        <w:t>低</w:t>
      </w:r>
      <w:r>
        <w:rPr>
          <w:rFonts w:ascii="楷体" w:hAnsi="楷体" w:eastAsia="楷体" w:cs="Calibri"/>
          <w:sz w:val="24"/>
          <w:szCs w:val="24"/>
        </w:rPr>
        <w:t>金额等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hint="eastAsia" w:ascii="楷体" w:hAnsi="楷体" w:eastAsia="楷体"/>
          <w:sz w:val="24"/>
          <w:szCs w:val="24"/>
        </w:rPr>
      </w:pPr>
      <w:r>
        <w:rPr>
          <w:rFonts w:hint="eastAsia" w:ascii="楷体" w:hAnsi="楷体" w:eastAsia="楷体" w:cs="Calibri"/>
          <w:sz w:val="24"/>
          <w:szCs w:val="24"/>
        </w:rPr>
        <w:t>法律法规、监管政策和本理财计划文件约定的其他权利。</w:t>
      </w:r>
    </w:p>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w:t>
      </w:r>
      <w:r>
        <w:rPr>
          <w:rFonts w:hint="eastAsia" w:ascii="楷体" w:hAnsi="楷体" w:eastAsia="楷体"/>
          <w:b/>
          <w:sz w:val="24"/>
          <w:szCs w:val="24"/>
          <w:u w:val="single"/>
          <w:lang w:val="en-US" w:eastAsia="zh-CN"/>
        </w:rPr>
        <w:t>销售</w:t>
      </w:r>
      <w:r>
        <w:rPr>
          <w:rFonts w:hint="eastAsia" w:ascii="楷体" w:hAnsi="楷体" w:eastAsia="楷体"/>
          <w:b/>
          <w:sz w:val="24"/>
          <w:szCs w:val="24"/>
          <w:u w:val="single"/>
        </w:rPr>
        <w:t>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3"/>
        <w:gridCol w:w="3166"/>
        <w:gridCol w:w="3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3824" w:type="pct"/>
            <w:gridSpan w:val="2"/>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75"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rPr>
            </w:pPr>
            <w:r>
              <w:rPr>
                <w:rFonts w:hint="eastAsia" w:ascii="楷体" w:hAnsi="楷体" w:eastAsia="楷体" w:cs="楷体"/>
                <w:i w:val="0"/>
                <w:iCs w:val="0"/>
                <w:color w:val="000000"/>
                <w:kern w:val="0"/>
                <w:sz w:val="18"/>
                <w:szCs w:val="18"/>
                <w:u w:val="none"/>
                <w:lang w:val="en-US" w:eastAsia="zh-CN" w:bidi="ar"/>
              </w:rPr>
              <w:t>A份额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rPr>
            </w:pPr>
            <w:r>
              <w:rPr>
                <w:rFonts w:hint="eastAsia" w:ascii="楷体" w:hAnsi="楷体" w:eastAsia="楷体" w:cs="楷体"/>
                <w:i w:val="0"/>
                <w:iCs w:val="0"/>
                <w:color w:val="000000"/>
                <w:kern w:val="0"/>
                <w:sz w:val="18"/>
                <w:szCs w:val="18"/>
                <w:u w:val="none"/>
                <w:lang w:val="en-US" w:eastAsia="zh-CN" w:bidi="ar"/>
              </w:rPr>
              <w:t>代发专享份额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default"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E50份额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F份额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G份额</w:t>
            </w:r>
          </w:p>
        </w:tc>
        <w:tc>
          <w:tcPr>
            <w:tcW w:w="1857" w:type="pct"/>
            <w:tcBorders>
              <w:top w:val="single" w:color="auto" w:sz="4" w:space="0"/>
              <w:left w:val="single" w:color="000000"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浙江瑞安农村商业银行股份有限公司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浙江临海农村商业银行股份有限公司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西安银行股份有限公司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浙江富阳农村商业银行股份有限公司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浙江海宁农村商业银行股份有限公司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浙江德清农村商业银行股份有限公司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浙江义乌农村商业银行股份有限公司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河北银行股份有限公司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碳账户专享份额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K份额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芙蓉锦程·优选份额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成都银行股份有限公司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宁波甬城农村商业银行股份有限公司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宁波余姚农村商业银行股份有限公司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浙江浦江农村商业银行股份有限公司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浙江遂昌农村商业银行股份有限公司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浙江南浔农村商业银行股份有限公司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浙江温州鹿城农村商业银行股份有限公司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浙江温岭农村商业银行股份有限公司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宁波镇海农村商业银行股份有限公司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兰州银行股份有限公司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浙江萧山农村商业银行股份有限公司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湖州吴兴农村商业银行股份有限公司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浙江天台农村商业银行股份有限公司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宁波北仑农村商业银行股份有限公司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浙江民泰商业银行股份有限公司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浙江兰溪农村商业银行股份有限公司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浙江仙居农村商业银行股份有限公司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浙江海宁农村商业银行股份有限公司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浙江桐庐农村商业银行股份有限公司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浙江江山农村商业银行股份有限公司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浙江乐清农村商业银行股份有限公司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浙江安吉农村商业银行股份有限公司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浙江禾城农村商业银行股份有限公司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宁波慈溪农村商业银行股份有限公司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浙江临海农村商业银行股份有限公司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浙江台州路桥农村商业银行股份有限公司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浙江台州黄岩农村商业银行股份有限公司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浙江瑞安农村商业银行股份有限公司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广东南粤银行股份有限公司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JS鑫福款份额</w:t>
            </w:r>
          </w:p>
        </w:tc>
        <w:tc>
          <w:tcPr>
            <w:tcW w:w="3166" w:type="dxa"/>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3353" w:type="dxa"/>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江苏苏州农村商业银行股份有限公司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江苏江阴农村商业银行股份有限公司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江苏太仓农村商业银行股份有限公司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江苏高邮农村商业银行股份有限公司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江苏射阳农村商业银行股份有限公司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江苏宝应农村商业银行股份有限公司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江苏滨海农村商业银行股份有限公司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3353" w:type="dxa"/>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芙蓉锦程·优选-尊享款份额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成都银行股份有限公司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北部湾银行专属份额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广西北部湾银行股份有限公司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I份额</w:t>
            </w:r>
          </w:p>
        </w:tc>
        <w:tc>
          <w:tcPr>
            <w:tcW w:w="1857" w:type="pct"/>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c>
          <w:tcPr>
            <w:tcW w:w="1967" w:type="pct"/>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c>
          <w:tcPr>
            <w:tcW w:w="1967" w:type="pct"/>
            <w:tcBorders>
              <w:top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鑫福款份额</w:t>
            </w:r>
          </w:p>
        </w:tc>
        <w:tc>
          <w:tcPr>
            <w:tcW w:w="1857" w:type="pct"/>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JS鑫福优享份额</w:t>
            </w:r>
          </w:p>
        </w:tc>
        <w:tc>
          <w:tcPr>
            <w:tcW w:w="3166" w:type="dxa"/>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3353" w:type="dxa"/>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江苏滨海农村商业银行股份有限公司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江苏高邮农村商业银行股份有限公司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江苏射阳农村商业银行股份有限公司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江苏宝应农村商业银行股份有限公司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3353" w:type="dxa"/>
            <w:tcBorders>
              <w:top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JS鑫福尊享份额</w:t>
            </w:r>
          </w:p>
        </w:tc>
        <w:tc>
          <w:tcPr>
            <w:tcW w:w="3166" w:type="dxa"/>
            <w:tcBorders>
              <w:top w:val="single" w:color="auto" w:sz="4" w:space="0"/>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top w:val="single" w:color="auto" w:sz="4" w:space="0"/>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江苏滨海农村商业银行股份有限公司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江苏高邮农村商业银行股份有限公司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江苏射阳农村商业银行股份有限公司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江苏宝应农村商业银行股份有限公司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c>
          <w:tcPr>
            <w:tcW w:w="1967" w:type="pct"/>
            <w:tcBorders>
              <w:top w:val="nil"/>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M份额</w:t>
            </w:r>
          </w:p>
        </w:tc>
        <w:tc>
          <w:tcPr>
            <w:tcW w:w="1857" w:type="pct"/>
            <w:tcBorders>
              <w:top w:val="single" w:color="auto" w:sz="4" w:space="0"/>
              <w:left w:val="single" w:color="auto" w:sz="4" w:space="0"/>
              <w:bottom w:val="single" w:color="auto" w:sz="4" w:space="0"/>
              <w:right w:val="nil"/>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N份额</w:t>
            </w:r>
          </w:p>
        </w:tc>
        <w:tc>
          <w:tcPr>
            <w:tcW w:w="1857" w:type="pct"/>
            <w:tcBorders>
              <w:top w:val="single" w:color="auto" w:sz="4" w:space="0"/>
              <w:left w:val="single" w:color="auto" w:sz="4" w:space="0"/>
              <w:bottom w:val="single" w:color="auto" w:sz="4" w:space="0"/>
              <w:right w:val="nil"/>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bl>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760"/>
        <w:gridCol w:w="5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rPr>
            </w:pPr>
            <w:r>
              <w:rPr>
                <w:rFonts w:hint="eastAsia" w:ascii="楷体" w:hAnsi="楷体" w:eastAsia="楷体"/>
                <w:b w:val="0"/>
                <w:bCs w:val="0"/>
                <w:sz w:val="20"/>
                <w:szCs w:val="20"/>
                <w:lang w:val="en-US" w:eastAsia="zh-CN"/>
              </w:rPr>
              <w:t>苏豪</w:t>
            </w:r>
            <w:r>
              <w:rPr>
                <w:rFonts w:hint="eastAsia" w:ascii="楷体" w:hAnsi="楷体" w:eastAsia="楷体"/>
                <w:b w:val="0"/>
                <w:bCs w:val="0"/>
                <w:sz w:val="20"/>
                <w:szCs w:val="20"/>
              </w:rPr>
              <w:t>弘业期货股份有限公司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rPr>
            </w:pPr>
            <w:r>
              <w:rPr>
                <w:rFonts w:hint="default" w:ascii="楷体" w:hAnsi="楷体" w:eastAsia="楷体"/>
                <w:b w:val="0"/>
                <w:bCs w:val="0"/>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r>
              <w:rPr>
                <w:rFonts w:hint="eastAsia" w:ascii="楷体" w:hAnsi="楷体" w:eastAsia="楷体"/>
                <w:b w:val="0"/>
                <w:bCs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中国人保资产管理有限公司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rPr>
            </w:pPr>
            <w:r>
              <w:rPr>
                <w:rFonts w:hint="eastAsia" w:ascii="楷体" w:hAnsi="楷体" w:eastAsia="楷体"/>
                <w:b w:val="0"/>
                <w:bCs w:val="0"/>
                <w:sz w:val="20"/>
                <w:szCs w:val="18"/>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创金合信基金管理有限公司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东方财富证券股份有限公司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东方财富证券股份有限公司，简称“东方财富证券”，是东方财富信息股份有限公司旗下的持牌证券公司，始终坚持用户第一，注重科技赋能、投研管理建设，旨在为客户提供全方位的财富管理服务。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大家资产管理有限责任公司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大家资产管理有限责任公司是大家保险集团旗下专业资产管理公司，公司于2011年5月经原中国保监会批准正式设立，注册资本6亿元人民币，2019年9月18日，经中国银行保险监督管理委员会批准，北京市西城区市场监督管理局核准，名称变更为“大家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中信期货有限公司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中信期货有限公司（以下简称“中信期货”）成立于1993年3月，为中信证券股份有限公司的全资子公司，注册资本56亿元，总部设在深圳。公司主要开展商品期货经纪、金融期货经纪、期货投资咨询、资产管理和基金销售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trPr>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华润深国投信托有限公司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华润信托于1982年8月24日成立，原名为深圳市信托投资公司，注册资本人民币5,813万元。目前，公司注册资本人民币110亿元，华润金控投资有限公司持有公司51%股权，深圳市投资控股有限公司持有公司49%股权。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永诚保险资产管理有限公司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b w:val="0"/>
                <w:bCs w:val="0"/>
                <w:sz w:val="20"/>
                <w:szCs w:val="18"/>
                <w:lang w:val="en-US" w:eastAsia="zh-CN"/>
              </w:rPr>
            </w:pPr>
            <w:r>
              <w:rPr>
                <w:rFonts w:hint="eastAsia" w:ascii="楷体" w:hAnsi="楷体" w:eastAsia="楷体" w:cs="Times New Roman"/>
                <w:b w:val="0"/>
                <w:bCs w:val="0"/>
                <w:sz w:val="20"/>
                <w:szCs w:val="18"/>
                <w:lang w:val="en-US" w:eastAsia="zh-CN"/>
              </w:rPr>
              <w:t>永诚保险资产管理有限公司（简称“永诚资产”）是由永诚财产保险股份有限公司全资发起组建的保险资产管理公司，公司注册于浙江省宁波市，注册资本金为人民币3亿元。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安联保险资产管理有限公司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cs="Times New Roman"/>
                <w:b w:val="0"/>
                <w:bCs w:val="0"/>
                <w:sz w:val="20"/>
                <w:szCs w:val="18"/>
                <w:lang w:val="en-US" w:eastAsia="zh-CN"/>
              </w:rPr>
              <w:t>安联保险资产管理有限公司（简称安联资管或公司）于2021年7月27日获得中国银行保险监督管理委员会的开业批复，成为中国获批开业的外资独资保险资产管理公司，注册资本为五亿元人民币，注册地北京。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中国对外经济贸易信托有限公司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中国对外经济贸易信托有限公司（以下简称“外贸信托”）成立于1987年9月，控股股东为中化资本有限公司，持股比例97.26%，注册资本80亿元，注册地在北京。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长城财富保险资产管理股份有限公司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平安信托有限责任公司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平安信托有限责任公司（以下简称“平安信托”）成立于1996年4月9日；平安信托股东实力雄厚，是中国平安保险（集团）股份有限公司（以下简称“中国平安”）的控股子公司，是中国平安在香港联交所（2318.HK）和上海证券交易所（601318）整体上市的重要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中粮信托有限责任公司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中粮信托有限责任公司（以下简称“中粮信托”）成立于2009年7月27日，控股股东为中粮资本投资有限公司，实际控制人为国务院国资委，注册资本283,095.4182万元人民币。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南华基金管理有限公司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南华基金管理有限公司于2016年10月18日由中国证监会核准设立，2016年11月17日经工商注册登记成立，经营范围为基金募集、基金销售、资产管理、特定客户资产管理和中国证监会许可的其他业务。公司是国内第一家由期货公司全资出资成立的公募基金公司，南华期货股份有限公司为公司全资股东，持股比例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英大保险资产管理有限公司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英大保险资产管理有限公司成立于2015年4月3日，由英大人寿、英大财险和英大集团共同发起设立，于2015年4月3日开业，注册资本金为5.2亿元，注册地为北京市。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国联民生证券股份有限公司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国联民生证券股份有限公司创立于1992年11月，前身为无锡市证券公司,2008年5月通过改制更名为国联证券股份有限公司,2015年7月6日在中国香港联合交易所上市(股票代码:01456),2020年7月31日在上海证券交易所上市(股票代码:601456),2025年2月7日更名为国联民生证券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太平洋资产管理有限责任公司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太平洋资产管理有限责任公司（以下简称“太保资产”或“公司”）是中国太平洋保险（集团）股份有限公司控股下的资产管理公司。公司注册资本人民币21亿元。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东吴证券股份有限公司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东吴证券股份有限公司，成立于1993年，公司注册地及总部在苏州，注册资本50.08亿元。公司下属21个分公司，拥有证券营业部135家，下设全资子公司东吴创业投资有限公司、东吴创新资本管理有限公司、东吴证券（香港）金融控股有限公司，并控股东吴基金管理有限公司、东吴期货有限公司和东吴证券中新（新加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鑫元基金管理有限公司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鑫元基金管理有限公司由南京银行股份有限公司（持股比例80%）发起，与南京高科股份有限公司（持股比例20%）联合组建，于2013年8月成立，是国内首批获准设立的城商行系基金公司。鑫元基金注册资本金2亿元人民币，总部设在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光大永明资产管理股份有限公司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光大永明资产管理股份有限公司成立时的原注册资本为人民币1亿元，其中各股东的持股比例为：光大永明人寿保险有限公司持有99%的股权和中国光大集团持有1%的股权。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建信保险资产管理有限公司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建信保险资产管理有限公司（简称“建信资管”）是由建信保险资管注册地点位于深圳市福田区,总部位于上海陆家嘴，是国内首家银行系保险资产管理公司。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陆家嘴国际信托有限公司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新华资产管理股份有限公司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新华资产管理股份有限公司成立于2006年5月，是国内首批专业保险资产管理机构，前身为新华人寿保险股份有限公司投资管理中心，控股股东为新华人寿保险股份有限公司。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国投泰康信托有限公司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国投泰康信托有限公司是经中国人民银行批准设立、国家金融监督管理总局监管的非银行金融机构，注册资本金26.705亿元人民币。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国联证券资产管理有限公司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证券资产管理有限公司（以下简称“公司”或“国联证券资管”）为国联民生证券股份有限公司全资子公司，2023年09月20日完成注册登记，2024年05月23日正式揭牌运营。公司注册地在青岛，注册资本100000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华鑫证券是上海仪电（集团）有限公司控股的A股上市公司上海华鑫股份有限公司（股票代码：600621）的全资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诺德基金管理有限公司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诺德基金管理有限公司成立于2006年，股东为天府清源控股有限公司、北京天朗云创信息技术有限公司，总部位于上海陆家嘴，注册资本1亿元。截至2024年12月31日，公司超160人的团队管理超700亿元资产。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rPr>
          <w:rFonts w:ascii="楷体" w:hAnsi="楷体" w:eastAsia="楷体"/>
          <w:b/>
          <w:sz w:val="24"/>
          <w:szCs w:val="24"/>
        </w:rPr>
      </w:pPr>
    </w:p>
    <w:p>
      <w:pPr>
        <w:ind w:firstLine="480" w:firstLineChars="200"/>
        <w:rPr>
          <w:rFonts w:hint="eastAsia" w:ascii="楷体" w:hAnsi="楷体" w:eastAsia="楷体"/>
          <w:sz w:val="24"/>
          <w:szCs w:val="24"/>
        </w:rPr>
      </w:pPr>
      <w:r>
        <w:rPr>
          <w:rFonts w:hint="eastAsia" w:ascii="楷体" w:hAnsi="楷体" w:eastAsia="楷体"/>
          <w:sz w:val="24"/>
          <w:szCs w:val="24"/>
        </w:rPr>
        <w:t>产品存续期内合作机构如有变化，管理人将按照监管规定和内部管理制度要</w:t>
      </w:r>
    </w:p>
    <w:p>
      <w:pPr>
        <w:tabs>
          <w:tab w:val="left" w:pos="1134"/>
        </w:tabs>
        <w:rPr>
          <w:rFonts w:hint="eastAsia" w:ascii="楷体" w:hAnsi="楷体" w:eastAsia="楷体"/>
          <w:sz w:val="28"/>
          <w:szCs w:val="28"/>
          <w:lang w:val="en-US" w:eastAsia="zh-CN"/>
        </w:rPr>
      </w:pPr>
      <w:r>
        <w:rPr>
          <w:rFonts w:hint="eastAsia" w:ascii="楷体" w:hAnsi="楷体" w:eastAsia="楷体"/>
          <w:sz w:val="24"/>
          <w:szCs w:val="24"/>
        </w:rPr>
        <w:t>求对合作机构进行准入，签署相关协议后，</w:t>
      </w:r>
      <w:r>
        <w:rPr>
          <w:rFonts w:hint="eastAsia" w:ascii="楷体" w:hAnsi="楷体" w:eastAsia="楷体"/>
          <w:sz w:val="24"/>
          <w:szCs w:val="24"/>
          <w:lang w:val="en-US" w:eastAsia="zh-CN"/>
        </w:rPr>
        <w:t>披露新增的投资合作机构</w:t>
      </w:r>
      <w:r>
        <w:rPr>
          <w:rFonts w:hint="eastAsia" w:ascii="楷体" w:hAnsi="楷体" w:eastAsia="楷体"/>
          <w:sz w:val="24"/>
          <w:szCs w:val="24"/>
          <w:lang w:eastAsia="zh-CN"/>
        </w:rPr>
        <w:t>。</w:t>
      </w:r>
    </w:p>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5"/>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参与主体用语</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二</w:t>
      </w:r>
      <w:r>
        <w:rPr>
          <w:rFonts w:hint="eastAsia" w:ascii="楷体" w:hAnsi="楷体" w:eastAsia="楷体" w:cs="Calibri"/>
          <w:b/>
          <w:bCs/>
          <w:sz w:val="24"/>
          <w:szCs w:val="24"/>
          <w:lang w:eastAsia="zh-CN"/>
        </w:rPr>
        <w:t>）</w:t>
      </w:r>
      <w:r>
        <w:rPr>
          <w:rFonts w:hint="eastAsia" w:ascii="楷体" w:hAnsi="楷体" w:eastAsia="楷体" w:cs="Calibri"/>
          <w:b/>
          <w:bCs/>
          <w:sz w:val="24"/>
          <w:szCs w:val="24"/>
        </w:rPr>
        <w:t>理财产品用语</w:t>
      </w:r>
    </w:p>
    <w:p>
      <w:pPr>
        <w:numPr>
          <w:ilvl w:val="0"/>
          <w:numId w:val="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w:t>
      </w:r>
      <w:r>
        <w:rPr>
          <w:rFonts w:ascii="楷体" w:hAnsi="楷体" w:eastAsia="楷体" w:cs="Calibri"/>
          <w:sz w:val="24"/>
          <w:szCs w:val="24"/>
        </w:rPr>
        <w:t>/</w:t>
      </w:r>
      <w:r>
        <w:rPr>
          <w:rFonts w:hint="eastAsia" w:ascii="楷体" w:hAnsi="楷体" w:eastAsia="楷体" w:cs="Calibri"/>
          <w:sz w:val="24"/>
          <w:szCs w:val="24"/>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ascii="楷体" w:hAnsi="楷体" w:eastAsia="楷体" w:cs="Calibri"/>
          <w:sz w:val="24"/>
          <w:szCs w:val="24"/>
        </w:rPr>
        <w:t>/</w:t>
      </w:r>
      <w:r>
        <w:rPr>
          <w:rFonts w:hint="eastAsia" w:ascii="楷体" w:hAnsi="楷体" w:eastAsia="楷体" w:cs="Calibri"/>
          <w:sz w:val="24"/>
          <w:szCs w:val="24"/>
        </w:rPr>
        <w:t>本产品：指“苏银理财恒源融达1号”理财产品。</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理财产品代码/产品代码：指本款理财产品在全国银行业理财信息登记系统中登记的内部识别码。</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理财产品资产净值/理财资产净值/产品资产净值：产品资产净值=产品资产总值-产品负债总值。</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产品资产总值：指产品拥有的各类有价证券、银行存款、应收款项及其他资产的价值总和。</w:t>
      </w:r>
    </w:p>
    <w:p>
      <w:pPr>
        <w:numPr>
          <w:ilvl w:val="0"/>
          <w:numId w:val="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产品负债总值：指产品运作及融资时形成的负债价值总和，包括融资资金本息、应付各项费用（包括托管费、销售</w:t>
      </w:r>
      <w:r>
        <w:rPr>
          <w:rFonts w:ascii="楷体" w:hAnsi="楷体" w:eastAsia="楷体" w:cs="Calibri"/>
          <w:sz w:val="24"/>
          <w:szCs w:val="24"/>
        </w:rPr>
        <w:t>服务费、</w:t>
      </w:r>
      <w:r>
        <w:rPr>
          <w:rFonts w:hint="eastAsia" w:ascii="楷体" w:hAnsi="楷体" w:eastAsia="楷体" w:cs="Calibri"/>
          <w:sz w:val="24"/>
          <w:szCs w:val="24"/>
        </w:rPr>
        <w:t>投资管理费、超额业绩报酬、其他费用等）、应付税金及其他应付款项等。</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lang w:val="en-US" w:eastAsia="zh-CN"/>
        </w:rPr>
        <w:t>单位</w:t>
      </w:r>
      <w:r>
        <w:rPr>
          <w:rFonts w:hint="eastAsia" w:ascii="楷体" w:hAnsi="楷体" w:eastAsia="楷体" w:cs="Calibri"/>
          <w:sz w:val="24"/>
          <w:szCs w:val="24"/>
        </w:rPr>
        <w:t>净值进行理财产品申购、赎回和终止时分配。</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产品份额累计净值：指理财产品份额的单位净值与理财产品成立后历次累计单位收益分配的总和。</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理财产品估值：指计算评估理财产品资产和负债以确定理财产品单位净值的过程。</w:t>
      </w:r>
    </w:p>
    <w:p>
      <w:pPr>
        <w:numPr>
          <w:ilvl w:val="0"/>
          <w:numId w:val="7"/>
        </w:numPr>
        <w:tabs>
          <w:tab w:val="left" w:pos="851"/>
        </w:tabs>
        <w:ind w:left="0" w:firstLine="482" w:firstLineChars="200"/>
        <w:rPr>
          <w:rFonts w:hint="eastAsia" w:ascii="楷体" w:hAnsi="楷体" w:eastAsia="楷体" w:cs="Calibri"/>
          <w:b/>
          <w:sz w:val="24"/>
          <w:szCs w:val="24"/>
        </w:rPr>
      </w:pPr>
      <w:r>
        <w:rPr>
          <w:rFonts w:hint="eastAsia" w:ascii="楷体" w:hAnsi="楷体" w:eastAsia="楷体" w:cs="Calibri"/>
          <w:b/>
          <w:sz w:val="24"/>
          <w:szCs w:val="24"/>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认购：指投资者根据理财产品说明书约定在募集期内申请购买本产品理财产品份额的行为。</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rPr>
      </w:pPr>
      <w:r>
        <w:rPr>
          <w:rFonts w:ascii="楷体" w:hAnsi="楷体" w:eastAsia="楷体" w:cs="Calibri"/>
          <w:sz w:val="24"/>
          <w:szCs w:val="24"/>
        </w:rPr>
        <w:t>申购、赎回申请</w:t>
      </w:r>
      <w:r>
        <w:rPr>
          <w:rFonts w:hint="eastAsia" w:ascii="楷体" w:hAnsi="楷体" w:eastAsia="楷体" w:cs="Calibri"/>
          <w:sz w:val="24"/>
          <w:szCs w:val="24"/>
        </w:rPr>
        <w:t>：</w:t>
      </w:r>
      <w:r>
        <w:rPr>
          <w:rFonts w:ascii="楷体" w:hAnsi="楷体" w:eastAsia="楷体" w:cs="Calibri"/>
          <w:sz w:val="24"/>
          <w:szCs w:val="24"/>
        </w:rPr>
        <w:t>指在</w:t>
      </w:r>
      <w:r>
        <w:rPr>
          <w:rFonts w:hint="eastAsia" w:ascii="楷体" w:hAnsi="楷体" w:eastAsia="楷体" w:cs="Calibri"/>
          <w:sz w:val="24"/>
          <w:szCs w:val="24"/>
        </w:rPr>
        <w:t>理财产品开放日</w:t>
      </w:r>
      <w:r>
        <w:rPr>
          <w:rFonts w:ascii="楷体" w:hAnsi="楷体" w:eastAsia="楷体" w:cs="Calibri"/>
          <w:sz w:val="24"/>
          <w:szCs w:val="24"/>
        </w:rPr>
        <w:t>投资者向</w:t>
      </w:r>
      <w:r>
        <w:rPr>
          <w:rFonts w:hint="eastAsia" w:ascii="楷体" w:hAnsi="楷体" w:eastAsia="楷体" w:cs="Calibri"/>
          <w:sz w:val="24"/>
          <w:szCs w:val="24"/>
        </w:rPr>
        <w:t>理财产品管理人</w:t>
      </w:r>
      <w:r>
        <w:rPr>
          <w:rFonts w:ascii="楷体" w:hAnsi="楷体" w:eastAsia="楷体" w:cs="Calibri"/>
          <w:sz w:val="24"/>
          <w:szCs w:val="24"/>
        </w:rPr>
        <w:t>提出申请对理财</w:t>
      </w:r>
      <w:r>
        <w:rPr>
          <w:rFonts w:hint="eastAsia" w:ascii="楷体" w:hAnsi="楷体" w:eastAsia="楷体" w:cs="Calibri"/>
          <w:sz w:val="24"/>
          <w:szCs w:val="24"/>
        </w:rPr>
        <w:t>产品</w:t>
      </w:r>
      <w:r>
        <w:rPr>
          <w:rFonts w:ascii="楷体" w:hAnsi="楷体" w:eastAsia="楷体" w:cs="Calibri"/>
          <w:sz w:val="24"/>
          <w:szCs w:val="24"/>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流动性受限资产：</w:t>
      </w:r>
      <w:r>
        <w:rPr>
          <w:rFonts w:hint="eastAsia" w:ascii="楷体" w:hAnsi="楷体" w:eastAsia="楷体" w:cs="Calibri"/>
          <w:kern w:val="2"/>
          <w:sz w:val="24"/>
          <w:szCs w:val="24"/>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lang w:val="en-US" w:eastAsia="zh-CN"/>
        </w:rPr>
        <w:t>法律法规或监管机构另有规定的，从其规定。</w:t>
      </w:r>
    </w:p>
    <w:p>
      <w:pPr>
        <w:numPr>
          <w:ilvl w:val="0"/>
          <w:numId w:val="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rPr>
        <w:t>7个工作日可变现资产</w:t>
      </w:r>
      <w:r>
        <w:rPr>
          <w:rFonts w:hint="eastAsia" w:ascii="楷体" w:hAnsi="楷体" w:eastAsia="楷体" w:cs="Calibri"/>
          <w:kern w:val="2"/>
          <w:sz w:val="24"/>
          <w:szCs w:val="24"/>
          <w:lang w:eastAsia="zh-CN"/>
        </w:rPr>
        <w:t>：</w:t>
      </w:r>
      <w:r>
        <w:rPr>
          <w:rFonts w:hint="eastAsia" w:ascii="楷体" w:hAnsi="楷体" w:eastAsia="楷体" w:cs="Calibri"/>
          <w:kern w:val="2"/>
          <w:sz w:val="24"/>
          <w:szCs w:val="24"/>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三</w:t>
      </w:r>
      <w:r>
        <w:rPr>
          <w:rFonts w:hint="eastAsia" w:ascii="楷体" w:hAnsi="楷体" w:eastAsia="楷体" w:cs="Calibri"/>
          <w:b/>
          <w:bCs/>
          <w:sz w:val="24"/>
          <w:szCs w:val="24"/>
          <w:lang w:eastAsia="zh-CN"/>
        </w:rPr>
        <w:t>）</w:t>
      </w:r>
      <w:r>
        <w:rPr>
          <w:rFonts w:hint="eastAsia" w:ascii="楷体" w:hAnsi="楷体" w:eastAsia="楷体" w:cs="Calibri"/>
          <w:b/>
          <w:bCs/>
          <w:sz w:val="24"/>
          <w:szCs w:val="24"/>
        </w:rPr>
        <w:t>期间与日期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募集期：指理财产品成立前，理财产品管理人接受理财产品认购的时间。</w:t>
      </w:r>
    </w:p>
    <w:p>
      <w:pPr>
        <w:numPr>
          <w:ilvl w:val="0"/>
          <w:numId w:val="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产品存续期：指自理财产品成立日起，至理财产品终止日的期间。</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四</w:t>
      </w:r>
      <w:r>
        <w:rPr>
          <w:rFonts w:hint="eastAsia" w:ascii="楷体" w:hAnsi="楷体" w:eastAsia="楷体" w:cs="Calibri"/>
          <w:b/>
          <w:bCs/>
          <w:sz w:val="24"/>
          <w:szCs w:val="24"/>
          <w:lang w:eastAsia="zh-CN"/>
        </w:rPr>
        <w:t>）</w:t>
      </w:r>
      <w:r>
        <w:rPr>
          <w:rFonts w:hint="eastAsia" w:ascii="楷体" w:hAnsi="楷体" w:eastAsia="楷体" w:cs="Calibri"/>
          <w:b/>
          <w:bCs/>
          <w:sz w:val="24"/>
          <w:szCs w:val="24"/>
        </w:rPr>
        <w:t>其他</w:t>
      </w:r>
    </w:p>
    <w:p>
      <w:pPr>
        <w:numPr>
          <w:ilvl w:val="0"/>
          <w:numId w:val="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元：指人民币元。</w:t>
      </w:r>
    </w:p>
    <w:p>
      <w:pPr>
        <w:numPr>
          <w:ilvl w:val="0"/>
          <w:numId w:val="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（5）网络系统遭受攻击、电信部门技术调整或故障等原因导致的服务中断和延迟等。</w:t>
      </w:r>
    </w:p>
    <w:p>
      <w:pPr>
        <w:numPr>
          <w:ilvl w:val="0"/>
          <w:numId w:val="3"/>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3"/>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投资管理</w:t>
      </w:r>
    </w:p>
    <w:p>
      <w:pPr>
        <w:numPr>
          <w:ilvl w:val="0"/>
          <w:numId w:val="11"/>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投资范围和投资比例：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rPr>
        <w:t>投资比例为：</w:t>
      </w:r>
      <w:r>
        <w:rPr>
          <w:rFonts w:hint="eastAsia" w:ascii="楷体" w:hAnsi="楷体" w:eastAsia="楷体"/>
          <w:sz w:val="24"/>
          <w:szCs w:val="24"/>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1"/>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投资集中度限制</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1.</w:t>
      </w:r>
      <w:r>
        <w:rPr>
          <w:rFonts w:hint="eastAsia" w:ascii="楷体" w:hAnsi="楷体" w:eastAsia="楷体" w:cs="Calibri"/>
          <w:sz w:val="24"/>
          <w:szCs w:val="24"/>
        </w:rPr>
        <w:t>本产品持有单只证券或者单只公募证券投资基金的市值不得超过产品净</w:t>
      </w:r>
    </w:p>
    <w:p>
      <w:pPr>
        <w:tabs>
          <w:tab w:val="left" w:pos="728"/>
        </w:tabs>
        <w:rPr>
          <w:rFonts w:ascii="楷体" w:hAnsi="楷体" w:eastAsia="楷体" w:cs="Calibri"/>
          <w:sz w:val="24"/>
          <w:szCs w:val="24"/>
        </w:rPr>
      </w:pPr>
      <w:r>
        <w:rPr>
          <w:rFonts w:hint="eastAsia" w:ascii="楷体" w:hAnsi="楷体" w:eastAsia="楷体" w:cs="Calibri"/>
          <w:sz w:val="24"/>
          <w:szCs w:val="24"/>
        </w:rPr>
        <w:t>资产的</w:t>
      </w:r>
      <w:r>
        <w:rPr>
          <w:rFonts w:ascii="楷体" w:hAnsi="楷体" w:eastAsia="楷体" w:cs="Calibri"/>
          <w:sz w:val="24"/>
          <w:szCs w:val="24"/>
        </w:rPr>
        <w:t>10%</w:t>
      </w:r>
      <w:r>
        <w:rPr>
          <w:rFonts w:hint="eastAsia" w:ascii="楷体" w:hAnsi="楷体" w:eastAsia="楷体" w:cs="Calibri"/>
          <w:sz w:val="24"/>
          <w:szCs w:val="24"/>
        </w:rPr>
        <w:t>。</w:t>
      </w:r>
    </w:p>
    <w:p>
      <w:p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2.管理人全部公募产品持有单只证券或单只公募证券投资基金的市值，不得超过该证券市值或该公募证券投资基金市值的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3.管理人全部产品持有单一上市公司发行的股票，不得超过该上市公司可流通股票的</w:t>
      </w:r>
      <w:r>
        <w:rPr>
          <w:rFonts w:ascii="楷体" w:hAnsi="楷体" w:eastAsia="楷体" w:cs="Calibri"/>
          <w:sz w:val="24"/>
          <w:szCs w:val="24"/>
        </w:rPr>
        <w:t>30%</w:t>
      </w:r>
      <w:r>
        <w:rPr>
          <w:rFonts w:hint="eastAsia" w:ascii="楷体" w:hAnsi="楷体" w:eastAsia="楷体" w:cs="Calibri"/>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11"/>
        </w:numPr>
        <w:tabs>
          <w:tab w:val="left" w:pos="993"/>
        </w:tabs>
        <w:ind w:left="0" w:firstLine="482" w:firstLineChars="200"/>
        <w:rPr>
          <w:rFonts w:hint="eastAsia" w:ascii="楷体" w:hAnsi="楷体" w:eastAsia="楷体" w:cs="Calibri"/>
          <w:b/>
          <w:bCs/>
          <w:sz w:val="24"/>
          <w:szCs w:val="24"/>
        </w:rPr>
      </w:pPr>
      <w:r>
        <w:rPr>
          <w:rFonts w:hint="eastAsia" w:ascii="楷体" w:hAnsi="楷体" w:eastAsia="楷体" w:cs="Calibri"/>
          <w:b/>
          <w:bCs/>
          <w:sz w:val="24"/>
          <w:szCs w:val="24"/>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rPr>
        <w:t>本理财产品资产总值/理财产品资产净值不超过</w:t>
      </w:r>
      <w:r>
        <w:rPr>
          <w:rFonts w:hint="eastAsia" w:ascii="楷体" w:hAnsi="楷体" w:eastAsia="楷体"/>
          <w:sz w:val="24"/>
          <w:szCs w:val="24"/>
          <w:lang w:val="en-US" w:eastAsia="zh-CN"/>
        </w:rPr>
        <w:t>140</w:t>
      </w:r>
      <w:r>
        <w:rPr>
          <w:rFonts w:hint="eastAsia" w:ascii="楷体" w:hAnsi="楷体" w:eastAsia="楷体"/>
          <w:sz w:val="24"/>
          <w:szCs w:val="24"/>
        </w:rPr>
        <w:t>%（如监管有最新规定的参照监管规定调整）。</w:t>
      </w:r>
    </w:p>
    <w:p>
      <w:pPr>
        <w:numPr>
          <w:ilvl w:val="0"/>
          <w:numId w:val="11"/>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3"/>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12"/>
        </w:numPr>
        <w:tabs>
          <w:tab w:val="left" w:pos="993"/>
        </w:tabs>
        <w:ind w:left="0"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认购期间：2018年8月29日9:00到2018年9月3日17:00</w:t>
      </w:r>
      <w:r>
        <w:rPr>
          <w:rFonts w:hint="eastAsia" w:ascii="楷体" w:hAnsi="楷体" w:eastAsia="楷体" w:cs="Calibri"/>
          <w:sz w:val="24"/>
          <w:szCs w:val="24"/>
          <w:lang w:eastAsia="zh-CN"/>
        </w:rPr>
        <w:t>。</w:t>
      </w:r>
      <w:r>
        <w:rPr>
          <w:rFonts w:hint="eastAsia" w:ascii="楷体" w:hAnsi="楷体" w:eastAsia="楷体"/>
          <w:sz w:val="24"/>
          <w:szCs w:val="24"/>
        </w:rPr>
        <w:t>（以各销售机构设置的认购时间为准）</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本理财产品采取金额认购，投资者单笔认申购起点金额及追加金额如下表：</w:t>
      </w:r>
    </w:p>
    <w:tbl>
      <w:tblPr>
        <w:tblStyle w:val="14"/>
        <w:tblW w:w="0" w:type="auto"/>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0"/>
        <w:gridCol w:w="1530"/>
        <w:gridCol w:w="1695"/>
        <w:gridCol w:w="2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53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695"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认申购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A</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J180409SA86B</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J180409SA86D</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0.01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E50</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J180409SA86E</w:t>
            </w:r>
          </w:p>
        </w:tc>
        <w:tc>
          <w:tcPr>
            <w:tcW w:w="1695"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元（个人）/100万元（机构）</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1元（个人）/</w:t>
            </w:r>
            <w:r>
              <w:rPr>
                <w:rFonts w:hint="eastAsia" w:ascii="楷体" w:hAnsi="楷体" w:eastAsia="楷体" w:cs="宋体"/>
                <w:spacing w:val="-2"/>
                <w:szCs w:val="21"/>
              </w:rPr>
              <w:t>1万元</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机构</w:t>
            </w:r>
            <w:r>
              <w:rPr>
                <w:rFonts w:hint="eastAsia" w:ascii="楷体" w:hAnsi="楷体" w:eastAsia="楷体" w:cs="宋体"/>
                <w:spacing w:val="-2"/>
                <w:szCs w:val="21"/>
                <w:lang w:eastAsia="zh-CN"/>
              </w:rPr>
              <w:t>）</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F</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J180409SA86F</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1万元</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G</w:t>
            </w:r>
          </w:p>
        </w:tc>
        <w:tc>
          <w:tcPr>
            <w:tcW w:w="1530" w:type="dxa"/>
            <w:noWrap w:val="0"/>
            <w:vAlign w:val="center"/>
          </w:tcPr>
          <w:p>
            <w:pPr>
              <w:tabs>
                <w:tab w:val="left" w:pos="993"/>
              </w:tabs>
              <w:jc w:val="center"/>
              <w:rPr>
                <w:rFonts w:hint="default" w:ascii="楷体" w:hAnsi="楷体" w:eastAsia="楷体" w:cs="Calibri"/>
                <w:szCs w:val="21"/>
                <w:lang w:val="en-US" w:eastAsia="zh-CN"/>
              </w:rPr>
            </w:pPr>
            <w:r>
              <w:rPr>
                <w:rFonts w:hint="eastAsia" w:ascii="楷体" w:hAnsi="楷体" w:eastAsia="楷体" w:cs="Calibri"/>
                <w:szCs w:val="21"/>
                <w:lang w:val="en-US" w:eastAsia="zh-CN"/>
              </w:rPr>
              <w:t>J02453</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元（个人）/</w:t>
            </w:r>
            <w:r>
              <w:rPr>
                <w:rFonts w:hint="eastAsia" w:ascii="楷体" w:hAnsi="楷体" w:eastAsia="楷体" w:cs="Calibri"/>
                <w:szCs w:val="21"/>
                <w:lang w:val="en-US" w:eastAsia="zh-CN"/>
              </w:rPr>
              <w:t>5000</w:t>
            </w:r>
            <w:r>
              <w:rPr>
                <w:rFonts w:hint="eastAsia" w:ascii="楷体" w:hAnsi="楷体" w:eastAsia="楷体" w:cs="Calibri"/>
                <w:szCs w:val="21"/>
              </w:rPr>
              <w:t>万元（机构）</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S</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J02764</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H</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J02767</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10万元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 w:val="21"/>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w:t>
            </w:r>
            <w:r>
              <w:rPr>
                <w:rFonts w:hint="eastAsia" w:ascii="楷体" w:hAnsi="楷体" w:eastAsia="楷体" w:cs="宋体"/>
                <w:spacing w:val="-2"/>
                <w:sz w:val="21"/>
                <w:szCs w:val="21"/>
                <w:lang w:val="en-US" w:eastAsia="zh-CN"/>
              </w:rPr>
              <w:t>号6月（碳账户专享）</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J03363</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1万元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K</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J03473</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w:t>
            </w:r>
            <w:r>
              <w:rPr>
                <w:rFonts w:hint="eastAsia" w:ascii="楷体" w:hAnsi="楷体" w:eastAsia="楷体" w:cs="Calibri"/>
                <w:szCs w:val="21"/>
                <w:lang w:val="en-US" w:eastAsia="zh-CN"/>
              </w:rPr>
              <w:t>亿</w:t>
            </w:r>
            <w:r>
              <w:rPr>
                <w:rFonts w:hint="eastAsia" w:ascii="楷体" w:hAnsi="楷体" w:eastAsia="楷体" w:cs="Calibri"/>
                <w:szCs w:val="21"/>
              </w:rPr>
              <w:t>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 w:val="21"/>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J03506</w:t>
            </w:r>
          </w:p>
        </w:tc>
        <w:tc>
          <w:tcPr>
            <w:tcW w:w="1695" w:type="dxa"/>
            <w:noWrap w:val="0"/>
            <w:vAlign w:val="center"/>
          </w:tcPr>
          <w:p>
            <w:pPr>
              <w:tabs>
                <w:tab w:val="left" w:pos="993"/>
              </w:tabs>
              <w:jc w:val="center"/>
              <w:rPr>
                <w:rFonts w:hint="default" w:ascii="楷体" w:hAnsi="楷体" w:eastAsia="楷体" w:cs="Calibri"/>
                <w:szCs w:val="21"/>
                <w:lang w:val="en-US" w:eastAsia="zh-CN"/>
              </w:rPr>
            </w:pPr>
            <w:r>
              <w:rPr>
                <w:rFonts w:hint="eastAsia" w:ascii="楷体" w:hAnsi="楷体" w:eastAsia="楷体" w:cs="Calibri"/>
                <w:szCs w:val="21"/>
                <w:lang w:val="en-US" w:eastAsia="zh-CN"/>
              </w:rPr>
              <w:t>5万元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eastAsia="zh-CN"/>
              </w:rPr>
              <w:t>）</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J03612</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Z</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Q</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苏银理财恒源融达1号6月JS鑫福款</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J03807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苏银理财恒源融达1号6月（芙蓉锦程·优选-尊享款）</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J04954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苏银理财恒源融达1号6月（北部湾银行专属）</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J07237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0.0</w:t>
            </w: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P</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J07303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苏银理财恒源融达1号6月I</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J10363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苏银理财恒源融达1号6月鑫福款</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J12106</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苏银理财恒源融达1号6月JS鑫福优享</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w:t>
            </w:r>
            <w:r>
              <w:rPr>
                <w:rFonts w:hint="eastAsia" w:ascii="楷体" w:hAnsi="楷体" w:eastAsia="楷体" w:cs="Calibri"/>
                <w:szCs w:val="21"/>
              </w:rPr>
              <w:t>元（个人）/100万元（机构）</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1元（个人）/</w:t>
            </w:r>
            <w:r>
              <w:rPr>
                <w:rFonts w:hint="eastAsia" w:ascii="楷体" w:hAnsi="楷体" w:eastAsia="楷体" w:cs="宋体"/>
                <w:spacing w:val="-2"/>
                <w:szCs w:val="21"/>
              </w:rPr>
              <w:t>1万元</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机构</w:t>
            </w:r>
            <w:r>
              <w:rPr>
                <w:rFonts w:hint="eastAsia" w:ascii="楷体" w:hAnsi="楷体" w:eastAsia="楷体" w:cs="宋体"/>
                <w:spacing w:val="-2"/>
                <w:szCs w:val="21"/>
                <w:lang w:eastAsia="zh-CN"/>
              </w:rPr>
              <w:t>）</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苏银理财恒源融达1号6月JS鑫福尊享</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J12108</w:t>
            </w:r>
          </w:p>
        </w:tc>
        <w:tc>
          <w:tcPr>
            <w:tcW w:w="1695" w:type="dxa"/>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50万</w:t>
            </w:r>
            <w:r>
              <w:rPr>
                <w:rFonts w:hint="eastAsia" w:ascii="楷体" w:hAnsi="楷体" w:eastAsia="楷体" w:cs="Calibri"/>
                <w:szCs w:val="21"/>
              </w:rPr>
              <w:t>元（个人）/</w:t>
            </w:r>
            <w:r>
              <w:rPr>
                <w:rFonts w:hint="eastAsia" w:ascii="楷体" w:hAnsi="楷体" w:eastAsia="楷体" w:cs="Calibri"/>
                <w:szCs w:val="21"/>
                <w:lang w:val="en-US" w:eastAsia="zh-CN"/>
              </w:rPr>
              <w:t>5000</w:t>
            </w:r>
            <w:r>
              <w:rPr>
                <w:rFonts w:hint="eastAsia" w:ascii="楷体" w:hAnsi="楷体" w:eastAsia="楷体" w:cs="Calibri"/>
                <w:szCs w:val="21"/>
              </w:rPr>
              <w:t>万元（机构）</w:t>
            </w:r>
          </w:p>
        </w:tc>
        <w:tc>
          <w:tcPr>
            <w:tcW w:w="2015" w:type="dxa"/>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M</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J13163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N</w:t>
            </w:r>
            <w:r>
              <w:rPr>
                <w:rFonts w:hint="eastAsia" w:ascii="楷体" w:hAnsi="楷体" w:eastAsia="楷体" w:cs="宋体"/>
                <w:spacing w:val="-2"/>
                <w:szCs w:val="21"/>
              </w:rPr>
              <w:t xml:space="preserve"> </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J13164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1万元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1万元的整数倍</w:t>
            </w:r>
          </w:p>
        </w:tc>
      </w:tr>
    </w:tbl>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单一投资者单个工作日认购</w:t>
      </w:r>
      <w:r>
        <w:rPr>
          <w:rFonts w:hint="eastAsia" w:ascii="楷体" w:hAnsi="楷体" w:eastAsia="楷体" w:cs="Calibri"/>
          <w:sz w:val="24"/>
          <w:szCs w:val="24"/>
          <w:lang w:val="en-US" w:eastAsia="zh-CN"/>
        </w:rPr>
        <w:t>/申购</w:t>
      </w:r>
      <w:r>
        <w:rPr>
          <w:rFonts w:hint="eastAsia" w:ascii="楷体" w:hAnsi="楷体" w:eastAsia="楷体" w:cs="Calibri"/>
          <w:sz w:val="24"/>
          <w:szCs w:val="24"/>
        </w:rPr>
        <w:t>上限：</w:t>
      </w:r>
    </w:p>
    <w:p>
      <w:pPr>
        <w:tabs>
          <w:tab w:val="left" w:pos="993"/>
        </w:tabs>
        <w:ind w:left="420" w:leftChars="200"/>
        <w:rPr>
          <w:rFonts w:hint="eastAsia" w:ascii="楷体" w:hAnsi="楷体" w:eastAsia="楷体" w:cs="Calibri"/>
          <w:sz w:val="24"/>
          <w:szCs w:val="24"/>
        </w:rPr>
      </w:pPr>
      <w:r>
        <w:rPr>
          <w:rFonts w:hint="eastAsia" w:ascii="楷体" w:hAnsi="楷体" w:eastAsia="楷体" w:cs="Calibri"/>
          <w:sz w:val="24"/>
          <w:szCs w:val="24"/>
        </w:rPr>
        <w:t>暂无。</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w:t>
      </w:r>
      <w:r>
        <w:rPr>
          <w:rFonts w:hint="eastAsia" w:ascii="楷体" w:hAnsi="楷体" w:eastAsia="楷体" w:cs="Calibri"/>
          <w:sz w:val="24"/>
          <w:szCs w:val="24"/>
          <w:highlight w:val="none"/>
        </w:rPr>
        <w:t>产品份额于2018年9月4日进行份额登记。</w:t>
      </w:r>
    </w:p>
    <w:p>
      <w:pPr>
        <w:numPr>
          <w:ilvl w:val="0"/>
          <w:numId w:val="12"/>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3"/>
        </w:numPr>
        <w:tabs>
          <w:tab w:val="left" w:pos="1134"/>
        </w:tabs>
        <w:ind w:firstLine="482" w:firstLineChars="200"/>
        <w:outlineLvl w:val="1"/>
        <w:rPr>
          <w:rFonts w:hint="eastAsia" w:ascii="楷体" w:hAnsi="楷体" w:eastAsia="楷体"/>
          <w:b/>
          <w:sz w:val="28"/>
          <w:szCs w:val="28"/>
        </w:rPr>
      </w:pPr>
      <w:r>
        <w:rPr>
          <w:rFonts w:hint="eastAsia" w:ascii="楷体" w:hAnsi="楷体" w:eastAsia="楷体" w:cs="Calibri"/>
          <w:b/>
          <w:sz w:val="24"/>
          <w:szCs w:val="24"/>
        </w:rPr>
        <w:t xml:space="preserve"> </w:t>
      </w:r>
      <w:r>
        <w:rPr>
          <w:rFonts w:hint="eastAsia" w:ascii="楷体" w:hAnsi="楷体" w:eastAsia="楷体"/>
          <w:b/>
          <w:sz w:val="28"/>
          <w:szCs w:val="28"/>
        </w:rPr>
        <w:t>产品估值</w:t>
      </w:r>
    </w:p>
    <w:p>
      <w:pPr>
        <w:numPr>
          <w:ilvl w:val="0"/>
          <w:numId w:val="13"/>
        </w:numPr>
        <w:tabs>
          <w:tab w:val="left" w:pos="993"/>
        </w:tabs>
        <w:ind w:left="0" w:firstLine="482" w:firstLineChars="200"/>
        <w:rPr>
          <w:rFonts w:hint="eastAsia" w:ascii="楷体" w:hAnsi="楷体" w:eastAsia="楷体" w:cs="Calibri"/>
          <w:b/>
          <w:bCs/>
          <w:sz w:val="24"/>
          <w:szCs w:val="24"/>
        </w:rPr>
      </w:pPr>
      <w:r>
        <w:rPr>
          <w:rFonts w:hint="eastAsia" w:ascii="楷体" w:hAnsi="楷体" w:eastAsia="楷体" w:cs="Calibri"/>
          <w:b/>
          <w:bCs/>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本产品所拥有的各类证券、银行存款、应收款项及其它资产及负债。</w:t>
      </w:r>
    </w:p>
    <w:p>
      <w:pPr>
        <w:numPr>
          <w:ilvl w:val="0"/>
          <w:numId w:val="1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估值要求</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w:t>
      </w:r>
      <w:r>
        <w:rPr>
          <w:rFonts w:hint="eastAsia" w:ascii="楷体" w:hAnsi="楷体" w:eastAsia="楷体" w:cs="Calibri"/>
          <w:sz w:val="24"/>
          <w:szCs w:val="24"/>
          <w:lang w:val="en-US" w:eastAsia="zh-CN"/>
        </w:rPr>
        <w:t>申购、赎回和</w:t>
      </w:r>
      <w:r>
        <w:rPr>
          <w:rFonts w:hint="eastAsia" w:ascii="楷体" w:hAnsi="楷体" w:eastAsia="楷体" w:cs="Calibri"/>
          <w:sz w:val="24"/>
          <w:szCs w:val="24"/>
        </w:rPr>
        <w:t>兑付提供计价依据。</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本产品单位净值精确到小数点后</w:t>
      </w:r>
      <w:r>
        <w:rPr>
          <w:rFonts w:hint="eastAsia" w:ascii="楷体" w:hAnsi="楷体" w:eastAsia="楷体" w:cs="Calibri"/>
          <w:sz w:val="24"/>
          <w:szCs w:val="24"/>
          <w:lang w:val="en-US" w:eastAsia="zh-CN"/>
        </w:rPr>
        <w:t>6</w:t>
      </w:r>
      <w:r>
        <w:rPr>
          <w:rFonts w:hint="eastAsia" w:ascii="楷体" w:hAnsi="楷体" w:eastAsia="楷体" w:cs="Calibri"/>
          <w:sz w:val="24"/>
          <w:szCs w:val="24"/>
        </w:rPr>
        <w:t>位，小数点</w:t>
      </w:r>
      <w:r>
        <w:rPr>
          <w:rFonts w:hint="eastAsia" w:ascii="楷体" w:hAnsi="楷体" w:eastAsia="楷体" w:cs="Calibri"/>
          <w:sz w:val="24"/>
          <w:szCs w:val="24"/>
          <w:lang w:val="en-US" w:eastAsia="zh-CN"/>
        </w:rPr>
        <w:t>6</w:t>
      </w:r>
      <w:r>
        <w:rPr>
          <w:rFonts w:hint="eastAsia" w:ascii="楷体" w:hAnsi="楷体" w:eastAsia="楷体" w:cs="Calibri"/>
          <w:sz w:val="24"/>
          <w:szCs w:val="24"/>
        </w:rPr>
        <w:t>位后截位。</w:t>
      </w:r>
    </w:p>
    <w:p>
      <w:pPr>
        <w:numPr>
          <w:ilvl w:val="0"/>
          <w:numId w:val="1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本产品每日估值</w:t>
      </w:r>
      <w:r>
        <w:rPr>
          <w:rFonts w:hint="eastAsia" w:ascii="楷体" w:hAnsi="楷体" w:eastAsia="楷体" w:cs="Calibri"/>
          <w:sz w:val="24"/>
          <w:szCs w:val="24"/>
          <w:lang w:eastAsia="zh-CN"/>
        </w:rPr>
        <w:t>，</w:t>
      </w:r>
      <w:r>
        <w:rPr>
          <w:rFonts w:hint="eastAsia" w:ascii="楷体" w:hAnsi="楷体" w:eastAsia="楷体" w:cs="Calibri"/>
          <w:sz w:val="24"/>
          <w:szCs w:val="24"/>
        </w:rPr>
        <w:t>存续期内每周按说明书约定方式披露单位净值，每个开放日结束后2个工作日内通过本理财产品说明书约定方式披露上一投资周期终止日的单位净值、份额累计净值、申购价格和赎回价格。</w:t>
      </w:r>
    </w:p>
    <w:p>
      <w:pPr>
        <w:numPr>
          <w:ilvl w:val="0"/>
          <w:numId w:val="1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估值方法</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存款类资产、货币市场工具：以本金列示，逐日计提利息。</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货币市场</w:t>
      </w:r>
      <w:r>
        <w:rPr>
          <w:rFonts w:ascii="楷体" w:hAnsi="楷体" w:eastAsia="楷体" w:cs="Calibri"/>
          <w:sz w:val="24"/>
          <w:szCs w:val="24"/>
        </w:rPr>
        <w:t>基金：</w:t>
      </w:r>
      <w:r>
        <w:rPr>
          <w:rFonts w:hint="eastAsia" w:ascii="楷体" w:hAnsi="楷体" w:eastAsia="楷体" w:cs="Calibri"/>
          <w:sz w:val="24"/>
          <w:szCs w:val="24"/>
        </w:rPr>
        <w:t>以估值截止时间点能够取得的最新每万份收益进行估值。</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债券类资产：按公允价值进行估值，采用市价、第三方估值机构提供的估值价格、合理的估值技术或监管机构认可的其他估值方法进行估值。</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权益类资产：按公允价值进行估值，采用市价、第三方估值机构提供的估值价格、合理的估值技术或监管机构认可的其他估值方法进行估值。</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其他资产：按公允价值进行估值，采用合理的估值技术或监管机构认可的估值方法进行估值。</w:t>
      </w:r>
    </w:p>
    <w:p>
      <w:pPr>
        <w:ind w:firstLine="480" w:firstLineChars="200"/>
        <w:rPr>
          <w:rFonts w:hint="eastAsia"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1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1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暂停估值</w:t>
      </w:r>
    </w:p>
    <w:p>
      <w:pPr>
        <w:ind w:firstLine="480" w:firstLineChars="200"/>
        <w:rPr>
          <w:rFonts w:hint="eastAsia"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3"/>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产品运作</w:t>
      </w:r>
    </w:p>
    <w:p>
      <w:pPr>
        <w:numPr>
          <w:ilvl w:val="0"/>
          <w:numId w:val="16"/>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申购份额=申购金额/申购开放日产品单位净值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16"/>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赎回金额=赎回份额*赎回日前一工作日产品单位净值-超额业绩报酬（若有）</w:t>
      </w:r>
    </w:p>
    <w:p>
      <w:pPr>
        <w:ind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投资者持仓份额的产品净值可能含有未收取的超额业绩报酬，赎回兑付金额以实际入账金额为准。</w:t>
      </w:r>
    </w:p>
    <w:p>
      <w:pPr>
        <w:ind w:firstLine="480" w:firstLineChars="200"/>
        <w:rPr>
          <w:rFonts w:hint="eastAsia" w:ascii="楷体" w:hAnsi="楷体" w:eastAsia="楷体"/>
          <w:b/>
          <w:bCs/>
          <w:sz w:val="24"/>
          <w:szCs w:val="24"/>
          <w:u w:val="single"/>
        </w:rPr>
      </w:pPr>
      <w:r>
        <w:rPr>
          <w:rFonts w:hint="eastAsia" w:ascii="楷体" w:hAnsi="楷体" w:eastAsia="楷体"/>
          <w:sz w:val="24"/>
          <w:szCs w:val="24"/>
        </w:rPr>
        <w:t>赎回金额以四舍五入的方法保留到小数点后两位</w:t>
      </w:r>
    </w:p>
    <w:p>
      <w:pPr>
        <w:numPr>
          <w:ilvl w:val="0"/>
          <w:numId w:val="16"/>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left="480"/>
        <w:rPr>
          <w:rFonts w:hint="eastAsia" w:ascii="楷体" w:hAnsi="楷体" w:eastAsia="楷体" w:cs="Calibri"/>
          <w:b/>
          <w:sz w:val="24"/>
          <w:szCs w:val="24"/>
          <w:u w:val="single"/>
        </w:rPr>
      </w:pPr>
      <w:r>
        <w:rPr>
          <w:rFonts w:hint="eastAsia" w:ascii="楷体" w:hAnsi="楷体" w:eastAsia="楷体" w:cs="Calibri"/>
          <w:b/>
          <w:sz w:val="24"/>
          <w:szCs w:val="24"/>
          <w:u w:val="single"/>
        </w:rPr>
        <w:t>以下示例均为假设情况，不代表本产品实际投资业绩。</w:t>
      </w:r>
    </w:p>
    <w:p>
      <w:pPr>
        <w:tabs>
          <w:tab w:val="left" w:pos="993"/>
        </w:tabs>
        <w:ind w:firstLine="482" w:firstLineChars="200"/>
        <w:rPr>
          <w:rFonts w:hint="eastAsia" w:ascii="楷体" w:hAnsi="楷体" w:eastAsia="楷体" w:cs="Calibri"/>
          <w:b/>
          <w:sz w:val="24"/>
          <w:szCs w:val="24"/>
          <w:u w:val="single"/>
          <w:lang w:eastAsia="zh-CN"/>
        </w:rPr>
      </w:pPr>
      <w:r>
        <w:rPr>
          <w:rFonts w:hint="eastAsia" w:ascii="楷体" w:hAnsi="楷体" w:eastAsia="楷体" w:cs="Calibri"/>
          <w:b/>
          <w:sz w:val="24"/>
          <w:szCs w:val="24"/>
          <w:u w:val="single"/>
        </w:rPr>
        <w:t>假设客户申购本产品</w:t>
      </w:r>
      <w:r>
        <w:rPr>
          <w:rFonts w:hint="eastAsia" w:ascii="楷体" w:hAnsi="楷体" w:eastAsia="楷体" w:cs="Calibri"/>
          <w:b/>
          <w:sz w:val="24"/>
          <w:szCs w:val="24"/>
          <w:u w:val="single"/>
          <w:lang w:val="en-US" w:eastAsia="zh-CN"/>
        </w:rPr>
        <w:t>A</w:t>
      </w:r>
      <w:r>
        <w:rPr>
          <w:rFonts w:hint="eastAsia" w:ascii="楷体" w:hAnsi="楷体" w:eastAsia="楷体" w:cs="Calibri"/>
          <w:b/>
          <w:sz w:val="24"/>
          <w:szCs w:val="24"/>
          <w:u w:val="single"/>
        </w:rPr>
        <w:t>份额1万元，公布的182天业绩比较基准</w:t>
      </w:r>
      <w:r>
        <w:rPr>
          <w:rFonts w:hint="eastAsia" w:ascii="楷体" w:hAnsi="楷体" w:eastAsia="楷体" w:cs="Calibri"/>
          <w:b/>
          <w:sz w:val="24"/>
          <w:szCs w:val="24"/>
          <w:u w:val="single"/>
          <w:lang w:val="en-US" w:eastAsia="zh-CN"/>
        </w:rPr>
        <w:t>为2.20</w:t>
      </w:r>
      <w:r>
        <w:rPr>
          <w:rFonts w:hint="eastAsia" w:ascii="楷体" w:hAnsi="楷体" w:eastAsia="楷体" w:cs="Calibri"/>
          <w:b/>
          <w:sz w:val="24"/>
          <w:szCs w:val="24"/>
          <w:u w:val="single"/>
        </w:rPr>
        <w:t>%</w:t>
      </w:r>
      <w:r>
        <w:rPr>
          <w:rFonts w:hint="eastAsia" w:ascii="楷体" w:hAnsi="楷体" w:eastAsia="楷体" w:cs="Calibri"/>
          <w:b/>
          <w:sz w:val="24"/>
          <w:szCs w:val="24"/>
          <w:u w:val="single"/>
          <w:lang w:val="en-US" w:eastAsia="zh-CN"/>
        </w:rPr>
        <w:t>-3.00%</w:t>
      </w:r>
      <w:r>
        <w:rPr>
          <w:rFonts w:hint="eastAsia" w:ascii="楷体" w:hAnsi="楷体" w:eastAsia="楷体" w:cs="Calibri"/>
          <w:b/>
          <w:sz w:val="24"/>
          <w:szCs w:val="24"/>
          <w:u w:val="single"/>
          <w:lang w:eastAsia="zh-CN"/>
        </w:rPr>
        <w:t>。</w:t>
      </w:r>
    </w:p>
    <w:p>
      <w:pPr>
        <w:tabs>
          <w:tab w:val="left" w:pos="993"/>
        </w:tabs>
        <w:ind w:firstLine="482" w:firstLineChars="200"/>
        <w:rPr>
          <w:rFonts w:hint="eastAsia" w:ascii="楷体" w:hAnsi="楷体" w:eastAsia="楷体" w:cs="Calibri"/>
          <w:b/>
          <w:sz w:val="24"/>
          <w:szCs w:val="24"/>
          <w:u w:val="single"/>
        </w:rPr>
      </w:pPr>
      <w:r>
        <w:rPr>
          <w:rFonts w:hint="eastAsia" w:ascii="楷体" w:hAnsi="楷体" w:eastAsia="楷体" w:cs="Calibri"/>
          <w:b/>
          <w:sz w:val="24"/>
          <w:szCs w:val="24"/>
          <w:u w:val="single"/>
        </w:rPr>
        <w:t>客户份额确认时的产品净值为1.034613，客户确认份额为9665.45份。客户份额运作满182天自动赎回退出，根据赎回退出日的产品单位净值计算有以下</w:t>
      </w:r>
      <w:r>
        <w:rPr>
          <w:rFonts w:hint="eastAsia" w:ascii="楷体" w:hAnsi="楷体" w:eastAsia="楷体" w:cs="Calibri"/>
          <w:b/>
          <w:sz w:val="24"/>
          <w:szCs w:val="24"/>
          <w:u w:val="single"/>
          <w:lang w:val="en-US" w:eastAsia="zh-CN"/>
        </w:rPr>
        <w:t>3</w:t>
      </w:r>
      <w:r>
        <w:rPr>
          <w:rFonts w:hint="eastAsia" w:ascii="楷体" w:hAnsi="楷体" w:eastAsia="楷体" w:cs="Calibri"/>
          <w:b/>
          <w:sz w:val="24"/>
          <w:szCs w:val="24"/>
          <w:u w:val="single"/>
        </w:rPr>
        <w:t>种情形。</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情景一</w:t>
      </w:r>
    </w:p>
    <w:p>
      <w:pPr>
        <w:ind w:firstLine="424" w:firstLineChars="177"/>
        <w:rPr>
          <w:rFonts w:ascii="楷体" w:hAnsi="楷体" w:eastAsia="楷体" w:cs="Calibri"/>
          <w:sz w:val="24"/>
          <w:szCs w:val="24"/>
        </w:rPr>
      </w:pPr>
      <w:r>
        <w:rPr>
          <w:rFonts w:hint="eastAsia" w:ascii="楷体" w:hAnsi="楷体" w:eastAsia="楷体" w:cs="Calibri"/>
          <w:sz w:val="24"/>
          <w:szCs w:val="24"/>
        </w:rPr>
        <w:t>假设赎回退出时产品单位净值为1.051812，客户份额持有期间净值增长率为</w:t>
      </w:r>
      <w:r>
        <w:rPr>
          <w:rFonts w:hint="eastAsia" w:ascii="楷体" w:hAnsi="楷体" w:eastAsia="楷体" w:cs="Calibri"/>
          <w:sz w:val="24"/>
          <w:szCs w:val="24"/>
          <w:lang w:val="en-US" w:eastAsia="zh-CN"/>
        </w:rPr>
        <w:t>3.33</w:t>
      </w:r>
      <w:r>
        <w:rPr>
          <w:rFonts w:hint="eastAsia" w:ascii="楷体" w:hAnsi="楷体" w:eastAsia="楷体" w:cs="Calibri"/>
          <w:sz w:val="24"/>
          <w:szCs w:val="24"/>
        </w:rPr>
        <w:t>%（大于业绩比较基准</w:t>
      </w:r>
      <w:r>
        <w:rPr>
          <w:rFonts w:hint="eastAsia" w:ascii="楷体" w:hAnsi="楷体" w:eastAsia="楷体" w:cs="Calibri"/>
          <w:sz w:val="24"/>
          <w:szCs w:val="24"/>
          <w:lang w:val="en-US" w:eastAsia="zh-CN"/>
        </w:rPr>
        <w:t>下限2.20%</w:t>
      </w:r>
      <w:r>
        <w:rPr>
          <w:rFonts w:hint="eastAsia" w:ascii="楷体" w:hAnsi="楷体" w:eastAsia="楷体" w:cs="Calibri"/>
          <w:sz w:val="24"/>
          <w:szCs w:val="24"/>
        </w:rPr>
        <w:t>），则管理人收取0.</w:t>
      </w:r>
      <w:r>
        <w:rPr>
          <w:rFonts w:hint="eastAsia" w:ascii="楷体" w:hAnsi="楷体" w:eastAsia="楷体" w:cs="Calibri"/>
          <w:sz w:val="24"/>
          <w:szCs w:val="24"/>
          <w:lang w:val="en-US" w:eastAsia="zh-CN"/>
        </w:rPr>
        <w:t>56</w:t>
      </w:r>
      <w:r>
        <w:rPr>
          <w:rFonts w:hint="eastAsia" w:ascii="楷体" w:hAnsi="楷体" w:eastAsia="楷体" w:cs="Calibri"/>
          <w:sz w:val="24"/>
          <w:szCs w:val="24"/>
        </w:rPr>
        <w:t>%</w:t>
      </w:r>
      <w:r>
        <w:rPr>
          <w:rFonts w:hint="eastAsia" w:ascii="楷体" w:hAnsi="楷体" w:eastAsia="楷体" w:cs="Calibri"/>
          <w:sz w:val="24"/>
          <w:szCs w:val="24"/>
          <w:lang w:val="en-US" w:eastAsia="zh-CN"/>
        </w:rPr>
        <w:t>的</w:t>
      </w:r>
      <w:r>
        <w:rPr>
          <w:rFonts w:hint="eastAsia" w:ascii="楷体" w:hAnsi="楷体" w:eastAsia="楷体" w:cs="Calibri"/>
          <w:sz w:val="24"/>
          <w:szCs w:val="24"/>
        </w:rPr>
        <w:t>超额业绩报酬，客户实际收益率为</w:t>
      </w:r>
      <w:r>
        <w:rPr>
          <w:rFonts w:hint="eastAsia" w:ascii="楷体" w:hAnsi="楷体" w:eastAsia="楷体" w:cs="Calibri"/>
          <w:sz w:val="24"/>
          <w:szCs w:val="24"/>
          <w:lang w:val="en-US" w:eastAsia="zh-CN"/>
        </w:rPr>
        <w:t>2.77</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eastAsia="zh-CN"/>
        </w:rPr>
      </w:pPr>
      <w:r>
        <w:rPr>
          <w:rFonts w:hint="eastAsia" w:ascii="楷体" w:hAnsi="楷体" w:eastAsia="楷体" w:cs="Calibri"/>
          <w:sz w:val="24"/>
          <w:szCs w:val="24"/>
          <w:lang w:val="en-US" w:eastAsia="zh-CN"/>
        </w:rPr>
        <w:t>2</w:t>
      </w:r>
      <w:r>
        <w:rPr>
          <w:rFonts w:ascii="楷体" w:hAnsi="楷体" w:eastAsia="楷体" w:cs="Calibri"/>
          <w:sz w:val="24"/>
          <w:szCs w:val="24"/>
        </w:rPr>
        <w:t>.</w:t>
      </w:r>
      <w:r>
        <w:rPr>
          <w:rFonts w:hint="eastAsia" w:ascii="楷体" w:hAnsi="楷体" w:eastAsia="楷体" w:cs="Calibri"/>
          <w:sz w:val="24"/>
          <w:szCs w:val="24"/>
        </w:rPr>
        <w:t>情景</w:t>
      </w:r>
      <w:r>
        <w:rPr>
          <w:rFonts w:hint="eastAsia" w:ascii="楷体" w:hAnsi="楷体" w:eastAsia="楷体" w:cs="Calibri"/>
          <w:sz w:val="24"/>
          <w:szCs w:val="24"/>
          <w:lang w:val="en-US" w:eastAsia="zh-CN"/>
        </w:rPr>
        <w:t>二</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假设赎回退出时产品单位净值为1.045832，客户份额持有期间净值增长率为</w:t>
      </w:r>
      <w:r>
        <w:rPr>
          <w:rFonts w:hint="eastAsia" w:ascii="楷体" w:hAnsi="楷体" w:eastAsia="楷体" w:cs="Calibri"/>
          <w:sz w:val="24"/>
          <w:szCs w:val="24"/>
          <w:lang w:val="en-US" w:eastAsia="zh-CN"/>
        </w:rPr>
        <w:t>2.17</w:t>
      </w:r>
      <w:r>
        <w:rPr>
          <w:rFonts w:hint="eastAsia" w:ascii="楷体" w:hAnsi="楷体" w:eastAsia="楷体" w:cs="Calibri"/>
          <w:sz w:val="24"/>
          <w:szCs w:val="24"/>
        </w:rPr>
        <w:t>%，客户按赎回退出时产品单位净值兑付，客户实际收益为</w:t>
      </w:r>
      <w:r>
        <w:rPr>
          <w:rFonts w:hint="eastAsia" w:ascii="楷体" w:hAnsi="楷体" w:eastAsia="楷体" w:cs="Calibri"/>
          <w:sz w:val="24"/>
          <w:szCs w:val="24"/>
          <w:lang w:val="en-US" w:eastAsia="zh-CN"/>
        </w:rPr>
        <w:t>2.17</w:t>
      </w:r>
      <w:r>
        <w:rPr>
          <w:rFonts w:hint="eastAsia" w:ascii="楷体" w:hAnsi="楷体" w:eastAsia="楷体" w:cs="Calibri"/>
          <w:sz w:val="24"/>
          <w:szCs w:val="24"/>
        </w:rPr>
        <w:t>%，管理人无</w:t>
      </w:r>
      <w:r>
        <w:rPr>
          <w:rFonts w:hint="eastAsia" w:ascii="楷体" w:hAnsi="楷体" w:eastAsia="楷体" w:cs="Calibri"/>
          <w:sz w:val="24"/>
          <w:szCs w:val="24"/>
          <w:lang w:val="en-US" w:eastAsia="zh-CN"/>
        </w:rPr>
        <w:t>超额业绩报酬</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eastAsia="zh-CN"/>
        </w:rPr>
      </w:pPr>
      <w:r>
        <w:rPr>
          <w:rFonts w:hint="eastAsia" w:ascii="楷体" w:hAnsi="楷体" w:eastAsia="楷体" w:cs="Calibri"/>
          <w:sz w:val="24"/>
          <w:szCs w:val="24"/>
          <w:lang w:val="en-US" w:eastAsia="zh-CN"/>
        </w:rPr>
        <w:t>3</w:t>
      </w:r>
      <w:r>
        <w:rPr>
          <w:rFonts w:ascii="楷体" w:hAnsi="楷体" w:eastAsia="楷体" w:cs="Calibri"/>
          <w:sz w:val="24"/>
          <w:szCs w:val="24"/>
        </w:rPr>
        <w:t>.</w:t>
      </w:r>
      <w:r>
        <w:rPr>
          <w:rFonts w:hint="eastAsia" w:ascii="楷体" w:hAnsi="楷体" w:eastAsia="楷体" w:cs="Calibri"/>
          <w:sz w:val="24"/>
          <w:szCs w:val="24"/>
        </w:rPr>
        <w:t>情景</w:t>
      </w:r>
      <w:r>
        <w:rPr>
          <w:rFonts w:hint="eastAsia" w:ascii="楷体" w:hAnsi="楷体" w:eastAsia="楷体" w:cs="Calibri"/>
          <w:sz w:val="24"/>
          <w:szCs w:val="24"/>
          <w:lang w:val="en-US" w:eastAsia="zh-CN"/>
        </w:rPr>
        <w:t>三</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假设赎回退出时产品净值为1.034513，客户份额持有期限净值增长率为-0.02%，客户按赎回退出日产品单位净值兑付，客户无收益，实际发生本金损失0.02%，管理人无</w:t>
      </w:r>
      <w:r>
        <w:rPr>
          <w:rFonts w:hint="eastAsia" w:ascii="楷体" w:hAnsi="楷体" w:eastAsia="楷体" w:cs="Calibri"/>
          <w:sz w:val="24"/>
          <w:szCs w:val="24"/>
          <w:lang w:val="en-US" w:eastAsia="zh-CN"/>
        </w:rPr>
        <w:t>超额业绩报酬</w:t>
      </w:r>
      <w:r>
        <w:rPr>
          <w:rFonts w:hint="eastAsia" w:ascii="楷体" w:hAnsi="楷体" w:eastAsia="楷体" w:cs="Calibri"/>
          <w:sz w:val="24"/>
          <w:szCs w:val="24"/>
        </w:rPr>
        <w:t>。</w:t>
      </w:r>
    </w:p>
    <w:p>
      <w:pPr>
        <w:ind w:firstLine="424" w:firstLineChars="176"/>
        <w:rPr>
          <w:rFonts w:hint="eastAsia" w:ascii="楷体" w:hAnsi="楷体" w:eastAsia="楷体" w:cs="Calibri"/>
          <w:sz w:val="24"/>
          <w:szCs w:val="24"/>
        </w:rPr>
      </w:pPr>
      <w:r>
        <w:rPr>
          <w:rFonts w:hint="eastAsia" w:ascii="楷体" w:hAnsi="楷体" w:eastAsia="楷体"/>
          <w:b/>
          <w:sz w:val="24"/>
          <w:szCs w:val="24"/>
          <w:u w:val="single"/>
        </w:rPr>
        <w:t>最不利的情形下，投资者可能损失100%本金。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tabs>
          <w:tab w:val="left" w:pos="1134"/>
        </w:tabs>
        <w:ind w:left="420" w:leftChars="200"/>
        <w:rPr>
          <w:rFonts w:hint="eastAsia" w:ascii="楷体" w:hAnsi="楷体" w:eastAsia="楷体"/>
          <w:b/>
          <w:sz w:val="28"/>
          <w:szCs w:val="28"/>
        </w:rPr>
      </w:pPr>
      <w:r>
        <w:rPr>
          <w:rFonts w:hint="eastAsia" w:ascii="楷体" w:hAnsi="楷体" w:eastAsia="楷体"/>
          <w:b/>
          <w:sz w:val="28"/>
          <w:szCs w:val="28"/>
        </w:rPr>
        <w:t>十一、理财产品的终止与清算</w:t>
      </w:r>
    </w:p>
    <w:p>
      <w:pPr>
        <w:numPr>
          <w:ilvl w:val="0"/>
          <w:numId w:val="18"/>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理财产品的终止</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20"/>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r>
        <w:rPr>
          <w:rFonts w:hint="eastAsia" w:ascii="楷体" w:hAnsi="楷体" w:eastAsia="楷体" w:cs="Calibri"/>
          <w:sz w:val="24"/>
          <w:szCs w:val="24"/>
          <w:lang w:eastAsia="zh-CN"/>
        </w:rPr>
        <w:t>；</w:t>
      </w:r>
    </w:p>
    <w:p>
      <w:pPr>
        <w:numPr>
          <w:ilvl w:val="0"/>
          <w:numId w:val="20"/>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r>
        <w:rPr>
          <w:rFonts w:hint="eastAsia" w:ascii="楷体" w:hAnsi="楷体" w:eastAsia="楷体" w:cs="Calibri"/>
          <w:sz w:val="24"/>
          <w:szCs w:val="24"/>
          <w:lang w:eastAsia="zh-CN"/>
        </w:rPr>
        <w:t>；</w:t>
      </w:r>
    </w:p>
    <w:p>
      <w:pPr>
        <w:numPr>
          <w:ilvl w:val="0"/>
          <w:numId w:val="20"/>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19"/>
        </w:numPr>
        <w:tabs>
          <w:tab w:val="left" w:pos="728"/>
        </w:tabs>
        <w:ind w:left="0" w:firstLine="480" w:firstLineChars="200"/>
        <w:rPr>
          <w:rFonts w:hint="eastAsia" w:ascii="楷体" w:hAnsi="楷体" w:eastAsia="楷体" w:cs="Calibri"/>
          <w:b w:val="0"/>
          <w:color w:val="auto"/>
          <w:sz w:val="24"/>
          <w:szCs w:val="24"/>
        </w:rPr>
      </w:pPr>
      <w:r>
        <w:rPr>
          <w:rFonts w:hint="eastAsia" w:ascii="楷体" w:hAnsi="楷体" w:eastAsia="楷体" w:cs="Calibri"/>
          <w:b w:val="0"/>
          <w:color w:val="auto"/>
          <w:sz w:val="24"/>
          <w:szCs w:val="24"/>
          <w:lang w:val="en-US" w:eastAsia="zh-CN"/>
        </w:rPr>
        <w:t>正常兑付</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★延期兑付</w:t>
      </w:r>
    </w:p>
    <w:p>
      <w:pPr>
        <w:ind w:firstLine="480" w:firstLineChars="200"/>
        <w:rPr>
          <w:rFonts w:hint="eastAsia"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2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2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因不可抗力、市场发生重大变化等原因导致产品项下对应的投资标的无法及时变现、无法及时收回资金</w:t>
      </w:r>
      <w:r>
        <w:rPr>
          <w:rFonts w:hint="eastAsia" w:ascii="楷体" w:hAnsi="楷体" w:eastAsia="楷体" w:cs="Calibri"/>
          <w:sz w:val="24"/>
          <w:szCs w:val="24"/>
          <w:lang w:eastAsia="zh-CN"/>
        </w:rPr>
        <w:t>；</w:t>
      </w:r>
    </w:p>
    <w:p>
      <w:pPr>
        <w:numPr>
          <w:ilvl w:val="0"/>
          <w:numId w:val="2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ind w:firstLine="480" w:firstLineChars="200"/>
        <w:rPr>
          <w:rFonts w:hint="eastAsia"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18"/>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理财产品的清算</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2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十二、产品费用</w:t>
      </w:r>
    </w:p>
    <w:p>
      <w:pPr>
        <w:numPr>
          <w:ilvl w:val="0"/>
          <w:numId w:val="2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本产品费用包括托管费、销售服务费、投资管理费和超额业绩报酬（</w:t>
      </w:r>
      <w:r>
        <w:rPr>
          <w:rFonts w:hint="eastAsia" w:ascii="楷体" w:hAnsi="楷体" w:eastAsia="楷体"/>
          <w:sz w:val="24"/>
          <w:szCs w:val="24"/>
          <w:lang w:val="en-US" w:eastAsia="zh-CN"/>
        </w:rPr>
        <w:t>如</w:t>
      </w:r>
      <w:r>
        <w:rPr>
          <w:rFonts w:hint="eastAsia" w:ascii="楷体" w:hAnsi="楷体" w:eastAsia="楷体"/>
          <w:sz w:val="24"/>
          <w:szCs w:val="24"/>
        </w:rPr>
        <w:t>有）以及产品运作和清算中产生的其他费用等。</w:t>
      </w:r>
    </w:p>
    <w:p>
      <w:pPr>
        <w:numPr>
          <w:ilvl w:val="0"/>
          <w:numId w:val="23"/>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计提方法、计提标准和支付方式</w:t>
      </w:r>
    </w:p>
    <w:p>
      <w:pPr>
        <w:numPr>
          <w:ilvl w:val="0"/>
          <w:numId w:val="2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托管费：本产品的托管费每日计提，按季支付，由托管行收取。计算方法如下：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每日应计提的托管费＝前一日的产品资产净值×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托管费率÷</w:t>
      </w:r>
      <w:r>
        <w:rPr>
          <w:rFonts w:ascii="楷体" w:hAnsi="楷体" w:eastAsia="楷体"/>
          <w:sz w:val="24"/>
          <w:szCs w:val="24"/>
        </w:rPr>
        <w:t>365</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rPr>
        <w:t>四舍五入保留至小数点后两位</w:t>
      </w:r>
    </w:p>
    <w:p>
      <w:pPr>
        <w:numPr>
          <w:ilvl w:val="0"/>
          <w:numId w:val="2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销售服务费：本产品的销售服务费每日计提，按季支付，由销售机构收取。计算方法如下：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每日应计提的销售服务费＝前一日的产品资产净值×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销售服务费率÷</w:t>
      </w:r>
      <w:r>
        <w:rPr>
          <w:rFonts w:ascii="楷体" w:hAnsi="楷体" w:eastAsia="楷体"/>
          <w:sz w:val="24"/>
          <w:szCs w:val="24"/>
        </w:rPr>
        <w:t>365</w:t>
      </w:r>
    </w:p>
    <w:p>
      <w:pPr>
        <w:ind w:firstLine="480" w:firstLineChars="200"/>
        <w:rPr>
          <w:rFonts w:hint="eastAsia" w:ascii="楷体" w:hAnsi="楷体" w:eastAsia="楷体" w:cs="Calibri"/>
          <w:sz w:val="24"/>
          <w:szCs w:val="24"/>
        </w:rPr>
      </w:pPr>
      <w:r>
        <w:rPr>
          <w:rFonts w:hint="eastAsia" w:ascii="楷体" w:hAnsi="楷体" w:eastAsia="楷体"/>
          <w:sz w:val="24"/>
          <w:szCs w:val="24"/>
        </w:rPr>
        <w:t>四舍五入保留至小数点后两位</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3.</w:t>
      </w:r>
      <w:r>
        <w:rPr>
          <w:rFonts w:hint="eastAsia" w:ascii="楷体" w:hAnsi="楷体" w:eastAsia="楷体" w:cs="Calibri"/>
          <w:sz w:val="24"/>
          <w:szCs w:val="24"/>
        </w:rPr>
        <w:t>投资管理费：本产品的投资管理费每日计提，按</w:t>
      </w:r>
      <w:r>
        <w:rPr>
          <w:rFonts w:hint="eastAsia" w:ascii="楷体" w:hAnsi="楷体" w:eastAsia="楷体" w:cs="Calibri"/>
          <w:sz w:val="24"/>
          <w:szCs w:val="24"/>
          <w:lang w:val="en-US" w:eastAsia="zh-CN"/>
        </w:rPr>
        <w:t>月</w:t>
      </w:r>
      <w:r>
        <w:rPr>
          <w:rFonts w:hint="eastAsia" w:ascii="楷体" w:hAnsi="楷体" w:eastAsia="楷体" w:cs="Calibri"/>
          <w:sz w:val="24"/>
          <w:szCs w:val="24"/>
        </w:rPr>
        <w:t>支付，由管理人收取。计算方法如下：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每日应计提的投资管理费＝前一日的产品资产净值×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投资管理费率÷</w:t>
      </w:r>
      <w:r>
        <w:rPr>
          <w:rFonts w:ascii="楷体" w:hAnsi="楷体" w:eastAsia="楷体"/>
          <w:sz w:val="24"/>
          <w:szCs w:val="24"/>
        </w:rPr>
        <w:t>365</w:t>
      </w:r>
    </w:p>
    <w:p>
      <w:pPr>
        <w:ind w:firstLine="480" w:firstLineChars="200"/>
        <w:rPr>
          <w:rFonts w:ascii="楷体" w:hAnsi="楷体" w:eastAsia="楷体"/>
          <w:sz w:val="24"/>
          <w:szCs w:val="24"/>
        </w:rPr>
      </w:pPr>
      <w:r>
        <w:rPr>
          <w:rFonts w:hint="eastAsia" w:ascii="楷体" w:hAnsi="楷体" w:eastAsia="楷体"/>
          <w:sz w:val="24"/>
          <w:szCs w:val="24"/>
        </w:rPr>
        <w:t>四舍五入保留至小数点后两位</w:t>
      </w:r>
    </w:p>
    <w:p>
      <w:pPr>
        <w:ind w:firstLine="480" w:firstLineChars="200"/>
        <w:rPr>
          <w:rFonts w:ascii="楷体" w:hAnsi="楷体" w:eastAsia="楷体"/>
          <w:sz w:val="24"/>
          <w:szCs w:val="24"/>
        </w:rPr>
      </w:pPr>
      <w:r>
        <w:rPr>
          <w:rFonts w:hint="eastAsia" w:ascii="楷体" w:hAnsi="楷体" w:eastAsia="楷体"/>
          <w:sz w:val="24"/>
          <w:szCs w:val="24"/>
        </w:rPr>
        <w:t>4.</w:t>
      </w:r>
      <w:r>
        <w:rPr>
          <w:rFonts w:hint="eastAsia" w:ascii="楷体" w:hAnsi="楷体" w:eastAsia="楷体" w:cs="Calibri"/>
          <w:sz w:val="24"/>
          <w:szCs w:val="24"/>
        </w:rPr>
        <w:t>超额业绩报酬：管理人按投资周期收取超额业绩报酬，若各份额单一投资周期的产品实际投资收益在扣除托管费、销售服务费、投资管理费以及运作产品所必须缴纳的税费后超过各份额业绩比较基准下限，产品管理人将按照超出部分的50%收取超额业绩报酬。</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5.</w:t>
      </w: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十三、税收规定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tabs>
          <w:tab w:val="left" w:pos="1134"/>
        </w:tabs>
        <w:ind w:left="420" w:leftChars="200"/>
        <w:rPr>
          <w:rFonts w:hint="eastAsia" w:ascii="楷体" w:hAnsi="楷体" w:eastAsia="楷体"/>
          <w:b/>
          <w:sz w:val="28"/>
          <w:szCs w:val="28"/>
          <w:lang w:val="en-US" w:eastAsia="zh-CN"/>
        </w:rPr>
      </w:pPr>
      <w:r>
        <w:rPr>
          <w:rFonts w:hint="eastAsia" w:ascii="楷体" w:hAnsi="楷体" w:eastAsia="楷体"/>
          <w:b/>
          <w:sz w:val="28"/>
          <w:szCs w:val="28"/>
        </w:rPr>
        <w:t>十四、产品托管</w:t>
      </w:r>
      <w:r>
        <w:rPr>
          <w:rFonts w:hint="eastAsia" w:ascii="楷体" w:hAnsi="楷体" w:eastAsia="楷体"/>
          <w:b/>
          <w:sz w:val="28"/>
          <w:szCs w:val="28"/>
          <w:lang w:val="en-US" w:eastAsia="zh-CN"/>
        </w:rPr>
        <w:t>人</w:t>
      </w:r>
    </w:p>
    <w:p>
      <w:pPr>
        <w:numPr>
          <w:ilvl w:val="0"/>
          <w:numId w:val="25"/>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25"/>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十五、信息披露</w:t>
      </w:r>
    </w:p>
    <w:p>
      <w:pPr>
        <w:numPr>
          <w:ilvl w:val="0"/>
          <w:numId w:val="27"/>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27"/>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2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2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2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4.</w:t>
      </w: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5.</w:t>
      </w:r>
      <w:r>
        <w:rPr>
          <w:rFonts w:hint="eastAsia" w:ascii="楷体" w:hAnsi="楷体" w:eastAsia="楷体" w:cs="Calibri"/>
          <w:sz w:val="24"/>
          <w:szCs w:val="24"/>
        </w:rPr>
        <w:t>产品净值披露：本产品存续期内每周按说明书约定方式披露单位净值，每个开放日结束后2个工作日内通过本理财产品说明书约定方式披露上一投资周期终止日的单位净值、份额累计净值、认</w:t>
      </w:r>
      <w:r>
        <w:rPr>
          <w:rFonts w:hint="eastAsia" w:ascii="楷体" w:hAnsi="楷体" w:eastAsia="楷体" w:cs="Calibri"/>
          <w:sz w:val="24"/>
          <w:szCs w:val="24"/>
          <w:lang w:val="en-US" w:eastAsia="zh-CN"/>
        </w:rPr>
        <w:t>/申</w:t>
      </w:r>
      <w:r>
        <w:rPr>
          <w:rFonts w:hint="eastAsia" w:ascii="楷体" w:hAnsi="楷体" w:eastAsia="楷体" w:cs="Calibri"/>
          <w:sz w:val="24"/>
          <w:szCs w:val="24"/>
        </w:rPr>
        <w:t>购价格和赎回价格。</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6.</w:t>
      </w: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7.</w:t>
      </w:r>
      <w:r>
        <w:rPr>
          <w:rFonts w:hint="eastAsia" w:ascii="楷体" w:hAnsi="楷体" w:eastAsia="楷体" w:cs="Calibri"/>
          <w:sz w:val="24"/>
          <w:szCs w:val="24"/>
        </w:rPr>
        <w:t>半年度整体报告：每半年披露从事理财业务活动的有关信息。</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8.</w:t>
      </w: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份额单位</w:t>
      </w:r>
      <w:r>
        <w:rPr>
          <w:rFonts w:hint="eastAsia" w:ascii="楷体" w:hAnsi="楷体" w:eastAsia="楷体" w:cs="Calibri"/>
          <w:sz w:val="24"/>
          <w:szCs w:val="24"/>
        </w:rPr>
        <w:t>净值、份额累计净值、资产净值、收益情况、投资者理财交易账户发生的交易明细记录等信息。</w:t>
      </w:r>
    </w:p>
    <w:p>
      <w:pPr>
        <w:numPr>
          <w:ilvl w:val="0"/>
          <w:numId w:val="0"/>
        </w:numPr>
        <w:tabs>
          <w:tab w:val="left" w:pos="993"/>
        </w:tabs>
        <w:ind w:leftChars="200"/>
        <w:rPr>
          <w:rFonts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三</w:t>
      </w:r>
      <w:r>
        <w:rPr>
          <w:rFonts w:hint="eastAsia" w:ascii="楷体" w:hAnsi="楷体" w:eastAsia="楷体" w:cs="Calibri"/>
          <w:b/>
          <w:bCs/>
          <w:sz w:val="24"/>
          <w:szCs w:val="24"/>
          <w:lang w:eastAsia="zh-CN"/>
        </w:rPr>
        <w:t>）</w:t>
      </w:r>
      <w:r>
        <w:rPr>
          <w:rFonts w:hint="eastAsia" w:ascii="楷体" w:hAnsi="楷体" w:eastAsia="楷体" w:cs="Calibri"/>
          <w:b/>
          <w:bCs/>
          <w:sz w:val="24"/>
          <w:szCs w:val="24"/>
        </w:rPr>
        <w:t>信息披露方式</w:t>
      </w:r>
    </w:p>
    <w:p>
      <w:pPr>
        <w:ind w:firstLine="480" w:firstLineChars="200"/>
        <w:rPr>
          <w:rFonts w:hint="eastAsia"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3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rPr>
        <w:t>www.suyinwealth.com</w:t>
      </w:r>
      <w:r>
        <w:rPr>
          <w:rFonts w:hint="eastAsia" w:ascii="楷体" w:hAnsi="楷体" w:eastAsia="楷体" w:cs="Calibri"/>
          <w:sz w:val="24"/>
          <w:szCs w:val="24"/>
        </w:rPr>
        <w:t>）进行信息披露。</w:t>
      </w:r>
    </w:p>
    <w:p>
      <w:pPr>
        <w:numPr>
          <w:ilvl w:val="0"/>
          <w:numId w:val="3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十六、其他</w:t>
      </w:r>
    </w:p>
    <w:p>
      <w:pPr>
        <w:numPr>
          <w:ilvl w:val="0"/>
          <w:numId w:val="31"/>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1"/>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31"/>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bookmarkStart w:id="0" w:name="_GoBack"/>
      <w:bookmarkEnd w:id="0"/>
    </w:p>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40</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pPr>
      <w:r>
        <w:rPr>
          <w:rStyle w:val="20"/>
        </w:rPr>
        <w:footnoteRef/>
      </w:r>
      <w:r>
        <w:t xml:space="preserve"> </w:t>
      </w:r>
      <w:r>
        <w:rPr>
          <w:rFonts w:hint="eastAsia" w:ascii="楷体" w:hAnsi="楷体" w:eastAsia="楷体" w:cs="楷体"/>
        </w:rPr>
        <w:t>投资者权益须知的名称和内容以销售机构实际使用为准。</w:t>
      </w:r>
    </w:p>
  </w:footnote>
  <w:footnote w:id="1">
    <w:p>
      <w:pPr>
        <w:pStyle w:val="11"/>
        <w:rPr>
          <w:rFonts w:hint="eastAsia"/>
        </w:rPr>
      </w:pPr>
      <w:r>
        <w:rPr>
          <w:rStyle w:val="20"/>
        </w:rPr>
        <w:footnoteRef/>
      </w:r>
      <w:r>
        <w:t xml:space="preserve"> </w:t>
      </w:r>
      <w:r>
        <w:rPr>
          <w:rFonts w:hint="eastAsia" w:ascii="楷体" w:hAnsi="楷体" w:eastAsia="楷体" w:cs="楷体"/>
        </w:rPr>
        <w:t>理财产品（代理）销售协议书的名称和内容以销售机构实际使用为准。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75D0C4"/>
    <w:multiLevelType w:val="singleLevel"/>
    <w:tmpl w:val="EE75D0C4"/>
    <w:lvl w:ilvl="0" w:tentative="0">
      <w:start w:val="1"/>
      <w:numFmt w:val="decimal"/>
      <w:suff w:val="nothing"/>
      <w:lvlText w:val="（%1）"/>
      <w:lvlJc w:val="left"/>
    </w:lvl>
  </w:abstractNum>
  <w:abstractNum w:abstractNumId="1">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14"/>
  </w:num>
  <w:num w:numId="3">
    <w:abstractNumId w:val="6"/>
  </w:num>
  <w:num w:numId="4">
    <w:abstractNumId w:val="11"/>
  </w:num>
  <w:num w:numId="5">
    <w:abstractNumId w:val="21"/>
  </w:num>
  <w:num w:numId="6">
    <w:abstractNumId w:val="19"/>
  </w:num>
  <w:num w:numId="7">
    <w:abstractNumId w:val="24"/>
  </w:num>
  <w:num w:numId="8">
    <w:abstractNumId w:val="7"/>
  </w:num>
  <w:num w:numId="9">
    <w:abstractNumId w:val="13"/>
  </w:num>
  <w:num w:numId="10">
    <w:abstractNumId w:val="0"/>
  </w:num>
  <w:num w:numId="11">
    <w:abstractNumId w:val="28"/>
  </w:num>
  <w:num w:numId="12">
    <w:abstractNumId w:val="16"/>
  </w:num>
  <w:num w:numId="13">
    <w:abstractNumId w:val="17"/>
  </w:num>
  <w:num w:numId="14">
    <w:abstractNumId w:val="4"/>
  </w:num>
  <w:num w:numId="15">
    <w:abstractNumId w:val="3"/>
  </w:num>
  <w:num w:numId="16">
    <w:abstractNumId w:val="8"/>
  </w:num>
  <w:num w:numId="17">
    <w:abstractNumId w:val="5"/>
  </w:num>
  <w:num w:numId="18">
    <w:abstractNumId w:val="9"/>
  </w:num>
  <w:num w:numId="19">
    <w:abstractNumId w:val="23"/>
  </w:num>
  <w:num w:numId="20">
    <w:abstractNumId w:val="2"/>
  </w:num>
  <w:num w:numId="21">
    <w:abstractNumId w:val="25"/>
  </w:num>
  <w:num w:numId="22">
    <w:abstractNumId w:val="18"/>
  </w:num>
  <w:num w:numId="23">
    <w:abstractNumId w:val="26"/>
  </w:num>
  <w:num w:numId="24">
    <w:abstractNumId w:val="30"/>
  </w:num>
  <w:num w:numId="25">
    <w:abstractNumId w:val="22"/>
  </w:num>
  <w:num w:numId="26">
    <w:abstractNumId w:val="10"/>
  </w:num>
  <w:num w:numId="27">
    <w:abstractNumId w:val="29"/>
  </w:num>
  <w:num w:numId="28">
    <w:abstractNumId w:val="15"/>
  </w:num>
  <w:num w:numId="29">
    <w:abstractNumId w:val="27"/>
  </w:num>
  <w:num w:numId="30">
    <w:abstractNumId w:val="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A91"/>
    <w:rsid w:val="00000B2F"/>
    <w:rsid w:val="00001E2F"/>
    <w:rsid w:val="00002389"/>
    <w:rsid w:val="000025C6"/>
    <w:rsid w:val="00002BDE"/>
    <w:rsid w:val="00003606"/>
    <w:rsid w:val="000048B0"/>
    <w:rsid w:val="00005B01"/>
    <w:rsid w:val="000063CF"/>
    <w:rsid w:val="00006A59"/>
    <w:rsid w:val="000101E4"/>
    <w:rsid w:val="0001103A"/>
    <w:rsid w:val="000131EF"/>
    <w:rsid w:val="00013628"/>
    <w:rsid w:val="00013844"/>
    <w:rsid w:val="000139C7"/>
    <w:rsid w:val="00014334"/>
    <w:rsid w:val="00014672"/>
    <w:rsid w:val="00015A92"/>
    <w:rsid w:val="00015D58"/>
    <w:rsid w:val="00016232"/>
    <w:rsid w:val="00017AB0"/>
    <w:rsid w:val="0002052D"/>
    <w:rsid w:val="000206F2"/>
    <w:rsid w:val="00020A6F"/>
    <w:rsid w:val="00021007"/>
    <w:rsid w:val="00023BA8"/>
    <w:rsid w:val="000247F9"/>
    <w:rsid w:val="00027E61"/>
    <w:rsid w:val="00027F48"/>
    <w:rsid w:val="0003072E"/>
    <w:rsid w:val="00030D69"/>
    <w:rsid w:val="00031806"/>
    <w:rsid w:val="00031F80"/>
    <w:rsid w:val="0003323A"/>
    <w:rsid w:val="00034890"/>
    <w:rsid w:val="00035097"/>
    <w:rsid w:val="00036482"/>
    <w:rsid w:val="000405B1"/>
    <w:rsid w:val="00042B55"/>
    <w:rsid w:val="00043D2C"/>
    <w:rsid w:val="00043D5F"/>
    <w:rsid w:val="000461C3"/>
    <w:rsid w:val="000463B3"/>
    <w:rsid w:val="000469D0"/>
    <w:rsid w:val="00050975"/>
    <w:rsid w:val="00051317"/>
    <w:rsid w:val="00051479"/>
    <w:rsid w:val="0005439B"/>
    <w:rsid w:val="00054854"/>
    <w:rsid w:val="000554B0"/>
    <w:rsid w:val="00060306"/>
    <w:rsid w:val="00060571"/>
    <w:rsid w:val="00060984"/>
    <w:rsid w:val="00061D74"/>
    <w:rsid w:val="00062791"/>
    <w:rsid w:val="00063EE4"/>
    <w:rsid w:val="00064EB1"/>
    <w:rsid w:val="00064F2B"/>
    <w:rsid w:val="000664A7"/>
    <w:rsid w:val="00066F56"/>
    <w:rsid w:val="0006729D"/>
    <w:rsid w:val="000677EE"/>
    <w:rsid w:val="000679B3"/>
    <w:rsid w:val="00071418"/>
    <w:rsid w:val="00071581"/>
    <w:rsid w:val="0007293A"/>
    <w:rsid w:val="00072C82"/>
    <w:rsid w:val="00072CD2"/>
    <w:rsid w:val="00072CE4"/>
    <w:rsid w:val="00072D1F"/>
    <w:rsid w:val="0007366C"/>
    <w:rsid w:val="00074189"/>
    <w:rsid w:val="00074306"/>
    <w:rsid w:val="00075FF8"/>
    <w:rsid w:val="00080C2C"/>
    <w:rsid w:val="00081AD6"/>
    <w:rsid w:val="0008269B"/>
    <w:rsid w:val="00083410"/>
    <w:rsid w:val="000837F8"/>
    <w:rsid w:val="000853F6"/>
    <w:rsid w:val="000867A8"/>
    <w:rsid w:val="00087036"/>
    <w:rsid w:val="00087EDB"/>
    <w:rsid w:val="00090F89"/>
    <w:rsid w:val="00093991"/>
    <w:rsid w:val="00093C11"/>
    <w:rsid w:val="00094631"/>
    <w:rsid w:val="0009533A"/>
    <w:rsid w:val="000954E6"/>
    <w:rsid w:val="00096382"/>
    <w:rsid w:val="0009795C"/>
    <w:rsid w:val="00097F80"/>
    <w:rsid w:val="000A2D2D"/>
    <w:rsid w:val="000A2E68"/>
    <w:rsid w:val="000A4241"/>
    <w:rsid w:val="000A45AB"/>
    <w:rsid w:val="000A5AC2"/>
    <w:rsid w:val="000B0078"/>
    <w:rsid w:val="000B35B0"/>
    <w:rsid w:val="000B3B58"/>
    <w:rsid w:val="000B3EFD"/>
    <w:rsid w:val="000B5087"/>
    <w:rsid w:val="000B659B"/>
    <w:rsid w:val="000B6E9F"/>
    <w:rsid w:val="000C42F9"/>
    <w:rsid w:val="000C54ED"/>
    <w:rsid w:val="000C6143"/>
    <w:rsid w:val="000C7382"/>
    <w:rsid w:val="000D03A9"/>
    <w:rsid w:val="000D08F8"/>
    <w:rsid w:val="000D2387"/>
    <w:rsid w:val="000D35BD"/>
    <w:rsid w:val="000D71CF"/>
    <w:rsid w:val="000D7225"/>
    <w:rsid w:val="000D722C"/>
    <w:rsid w:val="000E0485"/>
    <w:rsid w:val="000E2E7D"/>
    <w:rsid w:val="000E34F3"/>
    <w:rsid w:val="000E400B"/>
    <w:rsid w:val="000E4205"/>
    <w:rsid w:val="000E62BF"/>
    <w:rsid w:val="000E7CF6"/>
    <w:rsid w:val="000F0433"/>
    <w:rsid w:val="000F0802"/>
    <w:rsid w:val="000F1D3C"/>
    <w:rsid w:val="000F3233"/>
    <w:rsid w:val="000F3DD2"/>
    <w:rsid w:val="000F4243"/>
    <w:rsid w:val="000F4ABF"/>
    <w:rsid w:val="000F5426"/>
    <w:rsid w:val="000F5B66"/>
    <w:rsid w:val="000F5FF6"/>
    <w:rsid w:val="000F65C5"/>
    <w:rsid w:val="000F7056"/>
    <w:rsid w:val="000F7D2C"/>
    <w:rsid w:val="000F7F9F"/>
    <w:rsid w:val="001008D1"/>
    <w:rsid w:val="00100F0C"/>
    <w:rsid w:val="001025A3"/>
    <w:rsid w:val="0010303D"/>
    <w:rsid w:val="001036A0"/>
    <w:rsid w:val="0010457E"/>
    <w:rsid w:val="001065F5"/>
    <w:rsid w:val="00107786"/>
    <w:rsid w:val="00110417"/>
    <w:rsid w:val="001116B6"/>
    <w:rsid w:val="0011194F"/>
    <w:rsid w:val="00111E3E"/>
    <w:rsid w:val="001126F6"/>
    <w:rsid w:val="00115E7F"/>
    <w:rsid w:val="00117EFC"/>
    <w:rsid w:val="00122F58"/>
    <w:rsid w:val="0012352A"/>
    <w:rsid w:val="001238E9"/>
    <w:rsid w:val="0012411A"/>
    <w:rsid w:val="001242DE"/>
    <w:rsid w:val="001251E9"/>
    <w:rsid w:val="00125B8C"/>
    <w:rsid w:val="0012647A"/>
    <w:rsid w:val="001275DB"/>
    <w:rsid w:val="00130849"/>
    <w:rsid w:val="00130EED"/>
    <w:rsid w:val="00130F7B"/>
    <w:rsid w:val="0013153C"/>
    <w:rsid w:val="0013364F"/>
    <w:rsid w:val="00133B98"/>
    <w:rsid w:val="0013472F"/>
    <w:rsid w:val="00134733"/>
    <w:rsid w:val="0013533F"/>
    <w:rsid w:val="001359ED"/>
    <w:rsid w:val="0014026D"/>
    <w:rsid w:val="0014066A"/>
    <w:rsid w:val="00140B25"/>
    <w:rsid w:val="0014498F"/>
    <w:rsid w:val="001450DF"/>
    <w:rsid w:val="001463F3"/>
    <w:rsid w:val="0014734D"/>
    <w:rsid w:val="00152B36"/>
    <w:rsid w:val="001530B2"/>
    <w:rsid w:val="001539BE"/>
    <w:rsid w:val="001543E7"/>
    <w:rsid w:val="00154BB2"/>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163D"/>
    <w:rsid w:val="001725B6"/>
    <w:rsid w:val="00172ACA"/>
    <w:rsid w:val="00174417"/>
    <w:rsid w:val="001745FA"/>
    <w:rsid w:val="001749CF"/>
    <w:rsid w:val="00175CEC"/>
    <w:rsid w:val="00176B8E"/>
    <w:rsid w:val="00177BCC"/>
    <w:rsid w:val="0018035B"/>
    <w:rsid w:val="0018251A"/>
    <w:rsid w:val="0018458D"/>
    <w:rsid w:val="001846FB"/>
    <w:rsid w:val="00185658"/>
    <w:rsid w:val="00186A2E"/>
    <w:rsid w:val="00186BD7"/>
    <w:rsid w:val="00194AE5"/>
    <w:rsid w:val="00194E69"/>
    <w:rsid w:val="00197DD9"/>
    <w:rsid w:val="001A05F5"/>
    <w:rsid w:val="001A3999"/>
    <w:rsid w:val="001A46C0"/>
    <w:rsid w:val="001A57DB"/>
    <w:rsid w:val="001A586B"/>
    <w:rsid w:val="001A6EFF"/>
    <w:rsid w:val="001A73F1"/>
    <w:rsid w:val="001B043A"/>
    <w:rsid w:val="001B0EF8"/>
    <w:rsid w:val="001B1D26"/>
    <w:rsid w:val="001B1E1E"/>
    <w:rsid w:val="001B2F76"/>
    <w:rsid w:val="001B2F82"/>
    <w:rsid w:val="001B396B"/>
    <w:rsid w:val="001B4B9C"/>
    <w:rsid w:val="001B55D2"/>
    <w:rsid w:val="001B7D0D"/>
    <w:rsid w:val="001C0F94"/>
    <w:rsid w:val="001C13E9"/>
    <w:rsid w:val="001C3F7D"/>
    <w:rsid w:val="001C401D"/>
    <w:rsid w:val="001C4148"/>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631F"/>
    <w:rsid w:val="001F0A69"/>
    <w:rsid w:val="001F0EC7"/>
    <w:rsid w:val="001F1728"/>
    <w:rsid w:val="001F2658"/>
    <w:rsid w:val="001F375E"/>
    <w:rsid w:val="001F3AD6"/>
    <w:rsid w:val="001F3CCB"/>
    <w:rsid w:val="001F63BD"/>
    <w:rsid w:val="001F6775"/>
    <w:rsid w:val="001F69BF"/>
    <w:rsid w:val="001F70BF"/>
    <w:rsid w:val="00200DF8"/>
    <w:rsid w:val="002024E9"/>
    <w:rsid w:val="00206282"/>
    <w:rsid w:val="0020639A"/>
    <w:rsid w:val="00210354"/>
    <w:rsid w:val="00210857"/>
    <w:rsid w:val="002119A2"/>
    <w:rsid w:val="00215CD1"/>
    <w:rsid w:val="0022162D"/>
    <w:rsid w:val="00221E60"/>
    <w:rsid w:val="002221CB"/>
    <w:rsid w:val="002222A4"/>
    <w:rsid w:val="00224F31"/>
    <w:rsid w:val="0022633B"/>
    <w:rsid w:val="00226F9D"/>
    <w:rsid w:val="00230DAA"/>
    <w:rsid w:val="00230F4A"/>
    <w:rsid w:val="00231E83"/>
    <w:rsid w:val="002325CE"/>
    <w:rsid w:val="0023523A"/>
    <w:rsid w:val="00235E45"/>
    <w:rsid w:val="002366EB"/>
    <w:rsid w:val="00237FDB"/>
    <w:rsid w:val="0024053C"/>
    <w:rsid w:val="0024338D"/>
    <w:rsid w:val="00243629"/>
    <w:rsid w:val="002436C1"/>
    <w:rsid w:val="00243DF5"/>
    <w:rsid w:val="002449BB"/>
    <w:rsid w:val="00245106"/>
    <w:rsid w:val="00245D03"/>
    <w:rsid w:val="00247A7D"/>
    <w:rsid w:val="0025150E"/>
    <w:rsid w:val="00252B51"/>
    <w:rsid w:val="00253997"/>
    <w:rsid w:val="00253A8D"/>
    <w:rsid w:val="0025423C"/>
    <w:rsid w:val="00254A3C"/>
    <w:rsid w:val="00254A8B"/>
    <w:rsid w:val="00256E57"/>
    <w:rsid w:val="0025744E"/>
    <w:rsid w:val="0026641B"/>
    <w:rsid w:val="002672C8"/>
    <w:rsid w:val="0026766B"/>
    <w:rsid w:val="00270665"/>
    <w:rsid w:val="00270804"/>
    <w:rsid w:val="0027087F"/>
    <w:rsid w:val="00271B5B"/>
    <w:rsid w:val="00272C53"/>
    <w:rsid w:val="00272E20"/>
    <w:rsid w:val="00273681"/>
    <w:rsid w:val="00274587"/>
    <w:rsid w:val="0027510A"/>
    <w:rsid w:val="002753C3"/>
    <w:rsid w:val="00276883"/>
    <w:rsid w:val="00276C78"/>
    <w:rsid w:val="002770C9"/>
    <w:rsid w:val="00277C1F"/>
    <w:rsid w:val="00280589"/>
    <w:rsid w:val="00280BA8"/>
    <w:rsid w:val="002821D7"/>
    <w:rsid w:val="00282304"/>
    <w:rsid w:val="00282F20"/>
    <w:rsid w:val="00286A20"/>
    <w:rsid w:val="00287B11"/>
    <w:rsid w:val="0029004F"/>
    <w:rsid w:val="00290504"/>
    <w:rsid w:val="00291B84"/>
    <w:rsid w:val="00292B5E"/>
    <w:rsid w:val="002932FC"/>
    <w:rsid w:val="00293A19"/>
    <w:rsid w:val="00293FBC"/>
    <w:rsid w:val="00294431"/>
    <w:rsid w:val="00294B49"/>
    <w:rsid w:val="00295538"/>
    <w:rsid w:val="00297034"/>
    <w:rsid w:val="00297B34"/>
    <w:rsid w:val="00297FBC"/>
    <w:rsid w:val="002A1D5F"/>
    <w:rsid w:val="002A2202"/>
    <w:rsid w:val="002A23E0"/>
    <w:rsid w:val="002A2E20"/>
    <w:rsid w:val="002A32DF"/>
    <w:rsid w:val="002A3914"/>
    <w:rsid w:val="002A4DD2"/>
    <w:rsid w:val="002A7DF5"/>
    <w:rsid w:val="002A7E94"/>
    <w:rsid w:val="002B0795"/>
    <w:rsid w:val="002B1932"/>
    <w:rsid w:val="002B1D8F"/>
    <w:rsid w:val="002B1F1C"/>
    <w:rsid w:val="002B2620"/>
    <w:rsid w:val="002B29F4"/>
    <w:rsid w:val="002B3225"/>
    <w:rsid w:val="002B5694"/>
    <w:rsid w:val="002B7844"/>
    <w:rsid w:val="002C0181"/>
    <w:rsid w:val="002C021F"/>
    <w:rsid w:val="002C2056"/>
    <w:rsid w:val="002C23F7"/>
    <w:rsid w:val="002C3367"/>
    <w:rsid w:val="002C5770"/>
    <w:rsid w:val="002C68E0"/>
    <w:rsid w:val="002C7CB4"/>
    <w:rsid w:val="002C7E29"/>
    <w:rsid w:val="002D027E"/>
    <w:rsid w:val="002D2324"/>
    <w:rsid w:val="002D29FD"/>
    <w:rsid w:val="002D2AEC"/>
    <w:rsid w:val="002D2C1F"/>
    <w:rsid w:val="002D4E9A"/>
    <w:rsid w:val="002D7BB3"/>
    <w:rsid w:val="002E1382"/>
    <w:rsid w:val="002E6F55"/>
    <w:rsid w:val="002F04F7"/>
    <w:rsid w:val="002F0E4E"/>
    <w:rsid w:val="002F344B"/>
    <w:rsid w:val="002F709A"/>
    <w:rsid w:val="002F77A8"/>
    <w:rsid w:val="00301619"/>
    <w:rsid w:val="00301AD3"/>
    <w:rsid w:val="00302755"/>
    <w:rsid w:val="003055CF"/>
    <w:rsid w:val="00305A15"/>
    <w:rsid w:val="00306353"/>
    <w:rsid w:val="00306D41"/>
    <w:rsid w:val="00307094"/>
    <w:rsid w:val="00307342"/>
    <w:rsid w:val="00307A48"/>
    <w:rsid w:val="00310163"/>
    <w:rsid w:val="00310374"/>
    <w:rsid w:val="00310A72"/>
    <w:rsid w:val="00311C18"/>
    <w:rsid w:val="00312445"/>
    <w:rsid w:val="003128A0"/>
    <w:rsid w:val="0031298C"/>
    <w:rsid w:val="00313D52"/>
    <w:rsid w:val="00314235"/>
    <w:rsid w:val="0032119C"/>
    <w:rsid w:val="00321C2B"/>
    <w:rsid w:val="00324E2B"/>
    <w:rsid w:val="0032607C"/>
    <w:rsid w:val="00326E7B"/>
    <w:rsid w:val="0033166C"/>
    <w:rsid w:val="0033315A"/>
    <w:rsid w:val="0033358A"/>
    <w:rsid w:val="00334052"/>
    <w:rsid w:val="003342B8"/>
    <w:rsid w:val="00334D65"/>
    <w:rsid w:val="0033504B"/>
    <w:rsid w:val="003362C7"/>
    <w:rsid w:val="00336A5A"/>
    <w:rsid w:val="00337AA0"/>
    <w:rsid w:val="00340F90"/>
    <w:rsid w:val="00342ADB"/>
    <w:rsid w:val="00343B0F"/>
    <w:rsid w:val="0034618B"/>
    <w:rsid w:val="00347006"/>
    <w:rsid w:val="00347C86"/>
    <w:rsid w:val="00347D0D"/>
    <w:rsid w:val="00350342"/>
    <w:rsid w:val="003503AE"/>
    <w:rsid w:val="00350881"/>
    <w:rsid w:val="003511ED"/>
    <w:rsid w:val="00351D8C"/>
    <w:rsid w:val="0035213A"/>
    <w:rsid w:val="00353419"/>
    <w:rsid w:val="00355122"/>
    <w:rsid w:val="00355258"/>
    <w:rsid w:val="00355D35"/>
    <w:rsid w:val="00356370"/>
    <w:rsid w:val="0035668F"/>
    <w:rsid w:val="00360094"/>
    <w:rsid w:val="00361313"/>
    <w:rsid w:val="00361E69"/>
    <w:rsid w:val="003625D5"/>
    <w:rsid w:val="003627FB"/>
    <w:rsid w:val="00362826"/>
    <w:rsid w:val="0036403D"/>
    <w:rsid w:val="0036455C"/>
    <w:rsid w:val="00366074"/>
    <w:rsid w:val="00367122"/>
    <w:rsid w:val="0037083D"/>
    <w:rsid w:val="0037229F"/>
    <w:rsid w:val="00372402"/>
    <w:rsid w:val="003725B4"/>
    <w:rsid w:val="003726C4"/>
    <w:rsid w:val="00372832"/>
    <w:rsid w:val="00372B67"/>
    <w:rsid w:val="00373237"/>
    <w:rsid w:val="00374273"/>
    <w:rsid w:val="00375BEB"/>
    <w:rsid w:val="00376909"/>
    <w:rsid w:val="00377D6B"/>
    <w:rsid w:val="003800B4"/>
    <w:rsid w:val="003809E0"/>
    <w:rsid w:val="003814E2"/>
    <w:rsid w:val="00381AF1"/>
    <w:rsid w:val="00381E88"/>
    <w:rsid w:val="003821F9"/>
    <w:rsid w:val="003827CD"/>
    <w:rsid w:val="003835EB"/>
    <w:rsid w:val="00383A99"/>
    <w:rsid w:val="00383D6D"/>
    <w:rsid w:val="003852EF"/>
    <w:rsid w:val="003870EE"/>
    <w:rsid w:val="00393452"/>
    <w:rsid w:val="00394C2C"/>
    <w:rsid w:val="0039628E"/>
    <w:rsid w:val="00396F85"/>
    <w:rsid w:val="0039723A"/>
    <w:rsid w:val="003A1CB9"/>
    <w:rsid w:val="003A27B8"/>
    <w:rsid w:val="003A3D8C"/>
    <w:rsid w:val="003A539D"/>
    <w:rsid w:val="003A547A"/>
    <w:rsid w:val="003A5FA1"/>
    <w:rsid w:val="003A7623"/>
    <w:rsid w:val="003B324C"/>
    <w:rsid w:val="003B3AB7"/>
    <w:rsid w:val="003B6220"/>
    <w:rsid w:val="003B67D8"/>
    <w:rsid w:val="003B7430"/>
    <w:rsid w:val="003B76DC"/>
    <w:rsid w:val="003C1E93"/>
    <w:rsid w:val="003C596C"/>
    <w:rsid w:val="003C655B"/>
    <w:rsid w:val="003C6A84"/>
    <w:rsid w:val="003D03AF"/>
    <w:rsid w:val="003D07CA"/>
    <w:rsid w:val="003D1FE5"/>
    <w:rsid w:val="003D2D67"/>
    <w:rsid w:val="003D3735"/>
    <w:rsid w:val="003D4E30"/>
    <w:rsid w:val="003D5148"/>
    <w:rsid w:val="003D5C90"/>
    <w:rsid w:val="003D6081"/>
    <w:rsid w:val="003D6720"/>
    <w:rsid w:val="003D6B3F"/>
    <w:rsid w:val="003D6CDF"/>
    <w:rsid w:val="003D7951"/>
    <w:rsid w:val="003E030F"/>
    <w:rsid w:val="003E07CF"/>
    <w:rsid w:val="003E1EFB"/>
    <w:rsid w:val="003E20DB"/>
    <w:rsid w:val="003E2B26"/>
    <w:rsid w:val="003E4299"/>
    <w:rsid w:val="003E70B9"/>
    <w:rsid w:val="003E7812"/>
    <w:rsid w:val="003F1494"/>
    <w:rsid w:val="003F2136"/>
    <w:rsid w:val="003F277A"/>
    <w:rsid w:val="003F31E6"/>
    <w:rsid w:val="003F40F9"/>
    <w:rsid w:val="003F46B6"/>
    <w:rsid w:val="003F4C40"/>
    <w:rsid w:val="003F52FE"/>
    <w:rsid w:val="003F580D"/>
    <w:rsid w:val="003F61D7"/>
    <w:rsid w:val="003F6475"/>
    <w:rsid w:val="00401D49"/>
    <w:rsid w:val="00401F3A"/>
    <w:rsid w:val="004021CB"/>
    <w:rsid w:val="0040272E"/>
    <w:rsid w:val="00402EA0"/>
    <w:rsid w:val="004041C9"/>
    <w:rsid w:val="00404615"/>
    <w:rsid w:val="00407407"/>
    <w:rsid w:val="004079CC"/>
    <w:rsid w:val="004106A7"/>
    <w:rsid w:val="004108D9"/>
    <w:rsid w:val="00412823"/>
    <w:rsid w:val="00412CB8"/>
    <w:rsid w:val="0041382E"/>
    <w:rsid w:val="00413D00"/>
    <w:rsid w:val="00414410"/>
    <w:rsid w:val="00414992"/>
    <w:rsid w:val="00414C90"/>
    <w:rsid w:val="004153ED"/>
    <w:rsid w:val="00415B87"/>
    <w:rsid w:val="00416ED0"/>
    <w:rsid w:val="004175B0"/>
    <w:rsid w:val="00421C9B"/>
    <w:rsid w:val="00421ED6"/>
    <w:rsid w:val="00426041"/>
    <w:rsid w:val="00426CBC"/>
    <w:rsid w:val="0042769A"/>
    <w:rsid w:val="0043002F"/>
    <w:rsid w:val="004303B3"/>
    <w:rsid w:val="00430927"/>
    <w:rsid w:val="0043308A"/>
    <w:rsid w:val="00433113"/>
    <w:rsid w:val="0043673C"/>
    <w:rsid w:val="00437DA0"/>
    <w:rsid w:val="004412CE"/>
    <w:rsid w:val="0044188C"/>
    <w:rsid w:val="00442277"/>
    <w:rsid w:val="00442603"/>
    <w:rsid w:val="00442985"/>
    <w:rsid w:val="00442BB2"/>
    <w:rsid w:val="00444898"/>
    <w:rsid w:val="00445E88"/>
    <w:rsid w:val="0045186E"/>
    <w:rsid w:val="00453254"/>
    <w:rsid w:val="00453451"/>
    <w:rsid w:val="0045366F"/>
    <w:rsid w:val="00453F4D"/>
    <w:rsid w:val="00455D49"/>
    <w:rsid w:val="00455DF1"/>
    <w:rsid w:val="0045751C"/>
    <w:rsid w:val="00460F22"/>
    <w:rsid w:val="004613C0"/>
    <w:rsid w:val="00461AED"/>
    <w:rsid w:val="004622CE"/>
    <w:rsid w:val="00462B83"/>
    <w:rsid w:val="0046413A"/>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3A1E"/>
    <w:rsid w:val="00473D20"/>
    <w:rsid w:val="0047530A"/>
    <w:rsid w:val="004761F8"/>
    <w:rsid w:val="0047624F"/>
    <w:rsid w:val="00476551"/>
    <w:rsid w:val="00476764"/>
    <w:rsid w:val="00477506"/>
    <w:rsid w:val="00477994"/>
    <w:rsid w:val="0048029F"/>
    <w:rsid w:val="00480ED0"/>
    <w:rsid w:val="00481CB0"/>
    <w:rsid w:val="00481CC2"/>
    <w:rsid w:val="00482A14"/>
    <w:rsid w:val="00482CC2"/>
    <w:rsid w:val="004835E4"/>
    <w:rsid w:val="00484CF0"/>
    <w:rsid w:val="004856F7"/>
    <w:rsid w:val="00487169"/>
    <w:rsid w:val="00490539"/>
    <w:rsid w:val="004907EE"/>
    <w:rsid w:val="00490958"/>
    <w:rsid w:val="004910C2"/>
    <w:rsid w:val="00491342"/>
    <w:rsid w:val="00491B25"/>
    <w:rsid w:val="004925DF"/>
    <w:rsid w:val="004929D1"/>
    <w:rsid w:val="004931EF"/>
    <w:rsid w:val="004939CA"/>
    <w:rsid w:val="004943E7"/>
    <w:rsid w:val="00497627"/>
    <w:rsid w:val="00497D5C"/>
    <w:rsid w:val="004A0025"/>
    <w:rsid w:val="004A11E1"/>
    <w:rsid w:val="004A243A"/>
    <w:rsid w:val="004A2756"/>
    <w:rsid w:val="004A43DB"/>
    <w:rsid w:val="004A49CD"/>
    <w:rsid w:val="004A4AED"/>
    <w:rsid w:val="004A58D1"/>
    <w:rsid w:val="004A591E"/>
    <w:rsid w:val="004A5E88"/>
    <w:rsid w:val="004A65C0"/>
    <w:rsid w:val="004A6C11"/>
    <w:rsid w:val="004A6E41"/>
    <w:rsid w:val="004B1E66"/>
    <w:rsid w:val="004B4001"/>
    <w:rsid w:val="004B4B39"/>
    <w:rsid w:val="004B598C"/>
    <w:rsid w:val="004B6EA9"/>
    <w:rsid w:val="004B735F"/>
    <w:rsid w:val="004B77FF"/>
    <w:rsid w:val="004C0F0C"/>
    <w:rsid w:val="004C1242"/>
    <w:rsid w:val="004C1C90"/>
    <w:rsid w:val="004C38D6"/>
    <w:rsid w:val="004C49FA"/>
    <w:rsid w:val="004C4C9B"/>
    <w:rsid w:val="004C715E"/>
    <w:rsid w:val="004C7C47"/>
    <w:rsid w:val="004D0388"/>
    <w:rsid w:val="004D0478"/>
    <w:rsid w:val="004D0A93"/>
    <w:rsid w:val="004D1250"/>
    <w:rsid w:val="004D20F5"/>
    <w:rsid w:val="004D2EC3"/>
    <w:rsid w:val="004D34DD"/>
    <w:rsid w:val="004D382B"/>
    <w:rsid w:val="004D3B10"/>
    <w:rsid w:val="004D6E8F"/>
    <w:rsid w:val="004D73A7"/>
    <w:rsid w:val="004D7BA3"/>
    <w:rsid w:val="004E0A42"/>
    <w:rsid w:val="004E3184"/>
    <w:rsid w:val="004E3C6A"/>
    <w:rsid w:val="004E578D"/>
    <w:rsid w:val="004E645B"/>
    <w:rsid w:val="004F0FC9"/>
    <w:rsid w:val="004F1976"/>
    <w:rsid w:val="004F3AC9"/>
    <w:rsid w:val="004F3E60"/>
    <w:rsid w:val="004F46F0"/>
    <w:rsid w:val="004F4F78"/>
    <w:rsid w:val="004F55EC"/>
    <w:rsid w:val="004F64C1"/>
    <w:rsid w:val="0050008C"/>
    <w:rsid w:val="00500F96"/>
    <w:rsid w:val="005013A2"/>
    <w:rsid w:val="00501E90"/>
    <w:rsid w:val="005021AC"/>
    <w:rsid w:val="00503302"/>
    <w:rsid w:val="0050386F"/>
    <w:rsid w:val="005059A6"/>
    <w:rsid w:val="00510526"/>
    <w:rsid w:val="00510823"/>
    <w:rsid w:val="0051208D"/>
    <w:rsid w:val="00514531"/>
    <w:rsid w:val="00515789"/>
    <w:rsid w:val="00516DA1"/>
    <w:rsid w:val="00517A09"/>
    <w:rsid w:val="005201F1"/>
    <w:rsid w:val="00520ACC"/>
    <w:rsid w:val="00520B0B"/>
    <w:rsid w:val="00520DB0"/>
    <w:rsid w:val="005212D4"/>
    <w:rsid w:val="0052415B"/>
    <w:rsid w:val="00524AF2"/>
    <w:rsid w:val="005266CB"/>
    <w:rsid w:val="005278DA"/>
    <w:rsid w:val="00527FBD"/>
    <w:rsid w:val="005303CB"/>
    <w:rsid w:val="0053069A"/>
    <w:rsid w:val="005308B0"/>
    <w:rsid w:val="005332C4"/>
    <w:rsid w:val="0053444E"/>
    <w:rsid w:val="00534CE2"/>
    <w:rsid w:val="00534DA6"/>
    <w:rsid w:val="0053510C"/>
    <w:rsid w:val="00535310"/>
    <w:rsid w:val="005362B4"/>
    <w:rsid w:val="0053633A"/>
    <w:rsid w:val="005369FC"/>
    <w:rsid w:val="005400DC"/>
    <w:rsid w:val="005411FB"/>
    <w:rsid w:val="00542CCA"/>
    <w:rsid w:val="0054309D"/>
    <w:rsid w:val="005436F3"/>
    <w:rsid w:val="00544451"/>
    <w:rsid w:val="005449D5"/>
    <w:rsid w:val="00544A6C"/>
    <w:rsid w:val="00551427"/>
    <w:rsid w:val="00551C0A"/>
    <w:rsid w:val="00552ECA"/>
    <w:rsid w:val="005532BD"/>
    <w:rsid w:val="00554430"/>
    <w:rsid w:val="005544FD"/>
    <w:rsid w:val="00555D40"/>
    <w:rsid w:val="00560551"/>
    <w:rsid w:val="0056098B"/>
    <w:rsid w:val="00560C1D"/>
    <w:rsid w:val="00561FE9"/>
    <w:rsid w:val="00562524"/>
    <w:rsid w:val="00562804"/>
    <w:rsid w:val="00564F46"/>
    <w:rsid w:val="005659B2"/>
    <w:rsid w:val="00566CB6"/>
    <w:rsid w:val="00566F54"/>
    <w:rsid w:val="00567AAC"/>
    <w:rsid w:val="00570E1D"/>
    <w:rsid w:val="00570F5F"/>
    <w:rsid w:val="00572A2F"/>
    <w:rsid w:val="00572C28"/>
    <w:rsid w:val="00572D91"/>
    <w:rsid w:val="00574893"/>
    <w:rsid w:val="00575E03"/>
    <w:rsid w:val="00576B9E"/>
    <w:rsid w:val="00577555"/>
    <w:rsid w:val="0057778D"/>
    <w:rsid w:val="005803F4"/>
    <w:rsid w:val="005803FA"/>
    <w:rsid w:val="00581B3F"/>
    <w:rsid w:val="0058330C"/>
    <w:rsid w:val="00583A5E"/>
    <w:rsid w:val="00590CD8"/>
    <w:rsid w:val="00591A70"/>
    <w:rsid w:val="00593310"/>
    <w:rsid w:val="00593C66"/>
    <w:rsid w:val="0059440A"/>
    <w:rsid w:val="00595C4D"/>
    <w:rsid w:val="00596453"/>
    <w:rsid w:val="00597290"/>
    <w:rsid w:val="00597498"/>
    <w:rsid w:val="0059767A"/>
    <w:rsid w:val="00597860"/>
    <w:rsid w:val="00597C64"/>
    <w:rsid w:val="005A2E37"/>
    <w:rsid w:val="005A4D2A"/>
    <w:rsid w:val="005A6007"/>
    <w:rsid w:val="005A6752"/>
    <w:rsid w:val="005A6DE4"/>
    <w:rsid w:val="005A7236"/>
    <w:rsid w:val="005B08B3"/>
    <w:rsid w:val="005B0F07"/>
    <w:rsid w:val="005B16D7"/>
    <w:rsid w:val="005B1722"/>
    <w:rsid w:val="005B1BB5"/>
    <w:rsid w:val="005B1FB3"/>
    <w:rsid w:val="005B2156"/>
    <w:rsid w:val="005B3AC2"/>
    <w:rsid w:val="005B4027"/>
    <w:rsid w:val="005B62FA"/>
    <w:rsid w:val="005B6576"/>
    <w:rsid w:val="005C09F1"/>
    <w:rsid w:val="005C1CF3"/>
    <w:rsid w:val="005C37A8"/>
    <w:rsid w:val="005C3B0D"/>
    <w:rsid w:val="005C4A33"/>
    <w:rsid w:val="005C4B2D"/>
    <w:rsid w:val="005C5BC2"/>
    <w:rsid w:val="005C6C75"/>
    <w:rsid w:val="005C72E9"/>
    <w:rsid w:val="005C79F4"/>
    <w:rsid w:val="005D06E7"/>
    <w:rsid w:val="005D46AD"/>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E6F96"/>
    <w:rsid w:val="005F0E22"/>
    <w:rsid w:val="005F15EA"/>
    <w:rsid w:val="005F1604"/>
    <w:rsid w:val="005F24F4"/>
    <w:rsid w:val="005F2903"/>
    <w:rsid w:val="005F31D7"/>
    <w:rsid w:val="005F3AA3"/>
    <w:rsid w:val="005F537F"/>
    <w:rsid w:val="005F7D07"/>
    <w:rsid w:val="0060020D"/>
    <w:rsid w:val="00602794"/>
    <w:rsid w:val="0060289C"/>
    <w:rsid w:val="00604135"/>
    <w:rsid w:val="00604180"/>
    <w:rsid w:val="00605047"/>
    <w:rsid w:val="006058CB"/>
    <w:rsid w:val="00606754"/>
    <w:rsid w:val="0060733C"/>
    <w:rsid w:val="0060748F"/>
    <w:rsid w:val="0061140B"/>
    <w:rsid w:val="00612668"/>
    <w:rsid w:val="00613453"/>
    <w:rsid w:val="00613EA8"/>
    <w:rsid w:val="0061470B"/>
    <w:rsid w:val="00615377"/>
    <w:rsid w:val="00615563"/>
    <w:rsid w:val="00616AE1"/>
    <w:rsid w:val="00617F6B"/>
    <w:rsid w:val="0062067C"/>
    <w:rsid w:val="006214AD"/>
    <w:rsid w:val="006224C0"/>
    <w:rsid w:val="006235C4"/>
    <w:rsid w:val="00625863"/>
    <w:rsid w:val="00625F67"/>
    <w:rsid w:val="006260E5"/>
    <w:rsid w:val="00627B69"/>
    <w:rsid w:val="00633754"/>
    <w:rsid w:val="00635E85"/>
    <w:rsid w:val="006371FF"/>
    <w:rsid w:val="00643716"/>
    <w:rsid w:val="006441EC"/>
    <w:rsid w:val="00644A75"/>
    <w:rsid w:val="006472A0"/>
    <w:rsid w:val="00651512"/>
    <w:rsid w:val="00653B76"/>
    <w:rsid w:val="00653E20"/>
    <w:rsid w:val="00654956"/>
    <w:rsid w:val="00654DE7"/>
    <w:rsid w:val="0065533C"/>
    <w:rsid w:val="00656A9D"/>
    <w:rsid w:val="00656F5E"/>
    <w:rsid w:val="00657BCB"/>
    <w:rsid w:val="00661B05"/>
    <w:rsid w:val="00662CBC"/>
    <w:rsid w:val="006639BE"/>
    <w:rsid w:val="00666AAB"/>
    <w:rsid w:val="00666FD1"/>
    <w:rsid w:val="0067038D"/>
    <w:rsid w:val="00671A6A"/>
    <w:rsid w:val="00673F0C"/>
    <w:rsid w:val="00673F58"/>
    <w:rsid w:val="006749D7"/>
    <w:rsid w:val="006753D8"/>
    <w:rsid w:val="00675DB3"/>
    <w:rsid w:val="00676A38"/>
    <w:rsid w:val="00680098"/>
    <w:rsid w:val="00680957"/>
    <w:rsid w:val="00680BA2"/>
    <w:rsid w:val="00686325"/>
    <w:rsid w:val="00686EC4"/>
    <w:rsid w:val="00687063"/>
    <w:rsid w:val="00691425"/>
    <w:rsid w:val="00695E17"/>
    <w:rsid w:val="00696763"/>
    <w:rsid w:val="0069734A"/>
    <w:rsid w:val="006A1349"/>
    <w:rsid w:val="006A139A"/>
    <w:rsid w:val="006A1939"/>
    <w:rsid w:val="006A303A"/>
    <w:rsid w:val="006A3D89"/>
    <w:rsid w:val="006A414E"/>
    <w:rsid w:val="006A45A4"/>
    <w:rsid w:val="006A489E"/>
    <w:rsid w:val="006A6BB4"/>
    <w:rsid w:val="006B0367"/>
    <w:rsid w:val="006B03C4"/>
    <w:rsid w:val="006B147C"/>
    <w:rsid w:val="006B202A"/>
    <w:rsid w:val="006B4802"/>
    <w:rsid w:val="006B5097"/>
    <w:rsid w:val="006B5516"/>
    <w:rsid w:val="006B5CD7"/>
    <w:rsid w:val="006B5D36"/>
    <w:rsid w:val="006B5E1C"/>
    <w:rsid w:val="006B7A09"/>
    <w:rsid w:val="006C42CE"/>
    <w:rsid w:val="006C5486"/>
    <w:rsid w:val="006C592D"/>
    <w:rsid w:val="006C5E62"/>
    <w:rsid w:val="006C74B3"/>
    <w:rsid w:val="006D3791"/>
    <w:rsid w:val="006D463E"/>
    <w:rsid w:val="006D465F"/>
    <w:rsid w:val="006D4B88"/>
    <w:rsid w:val="006D5492"/>
    <w:rsid w:val="006D5D0D"/>
    <w:rsid w:val="006D7021"/>
    <w:rsid w:val="006D7209"/>
    <w:rsid w:val="006E11C9"/>
    <w:rsid w:val="006E1941"/>
    <w:rsid w:val="006E31AE"/>
    <w:rsid w:val="006E4984"/>
    <w:rsid w:val="006E5E71"/>
    <w:rsid w:val="006E6031"/>
    <w:rsid w:val="006E61F6"/>
    <w:rsid w:val="006E695F"/>
    <w:rsid w:val="006E75DF"/>
    <w:rsid w:val="006F12AB"/>
    <w:rsid w:val="006F1FBE"/>
    <w:rsid w:val="006F2DE0"/>
    <w:rsid w:val="006F32BF"/>
    <w:rsid w:val="006F3311"/>
    <w:rsid w:val="006F38F6"/>
    <w:rsid w:val="006F3989"/>
    <w:rsid w:val="006F4219"/>
    <w:rsid w:val="006F520B"/>
    <w:rsid w:val="006F570B"/>
    <w:rsid w:val="006F575A"/>
    <w:rsid w:val="00700A73"/>
    <w:rsid w:val="007015E9"/>
    <w:rsid w:val="00701999"/>
    <w:rsid w:val="00702050"/>
    <w:rsid w:val="00702A10"/>
    <w:rsid w:val="007030D0"/>
    <w:rsid w:val="00703926"/>
    <w:rsid w:val="00704993"/>
    <w:rsid w:val="00704ED8"/>
    <w:rsid w:val="0070601C"/>
    <w:rsid w:val="00707008"/>
    <w:rsid w:val="0071025D"/>
    <w:rsid w:val="00710993"/>
    <w:rsid w:val="00712884"/>
    <w:rsid w:val="00713C6D"/>
    <w:rsid w:val="00715090"/>
    <w:rsid w:val="00715379"/>
    <w:rsid w:val="00715571"/>
    <w:rsid w:val="00715606"/>
    <w:rsid w:val="0071587A"/>
    <w:rsid w:val="007159EB"/>
    <w:rsid w:val="007160E0"/>
    <w:rsid w:val="00716E3F"/>
    <w:rsid w:val="00717DE7"/>
    <w:rsid w:val="00720629"/>
    <w:rsid w:val="00720B16"/>
    <w:rsid w:val="0072156E"/>
    <w:rsid w:val="0072185A"/>
    <w:rsid w:val="007219C5"/>
    <w:rsid w:val="007223FC"/>
    <w:rsid w:val="00725F23"/>
    <w:rsid w:val="007267EB"/>
    <w:rsid w:val="0072737A"/>
    <w:rsid w:val="00730159"/>
    <w:rsid w:val="00730C0D"/>
    <w:rsid w:val="00730F30"/>
    <w:rsid w:val="0073129C"/>
    <w:rsid w:val="00732E80"/>
    <w:rsid w:val="007339DB"/>
    <w:rsid w:val="00734469"/>
    <w:rsid w:val="00734F65"/>
    <w:rsid w:val="007352F8"/>
    <w:rsid w:val="007356FC"/>
    <w:rsid w:val="00735CE3"/>
    <w:rsid w:val="0074101E"/>
    <w:rsid w:val="0074150A"/>
    <w:rsid w:val="00741A4D"/>
    <w:rsid w:val="00741FEC"/>
    <w:rsid w:val="007433D3"/>
    <w:rsid w:val="00743F1B"/>
    <w:rsid w:val="0074430F"/>
    <w:rsid w:val="007448B9"/>
    <w:rsid w:val="00746100"/>
    <w:rsid w:val="007468E9"/>
    <w:rsid w:val="00746BED"/>
    <w:rsid w:val="00747D71"/>
    <w:rsid w:val="00750288"/>
    <w:rsid w:val="007512E0"/>
    <w:rsid w:val="00751BF1"/>
    <w:rsid w:val="007537F1"/>
    <w:rsid w:val="00754358"/>
    <w:rsid w:val="00754B99"/>
    <w:rsid w:val="007567FF"/>
    <w:rsid w:val="00756DA9"/>
    <w:rsid w:val="0075794D"/>
    <w:rsid w:val="007608C8"/>
    <w:rsid w:val="00761696"/>
    <w:rsid w:val="00761834"/>
    <w:rsid w:val="007619E9"/>
    <w:rsid w:val="00761BB9"/>
    <w:rsid w:val="00761D56"/>
    <w:rsid w:val="007620D8"/>
    <w:rsid w:val="007631A8"/>
    <w:rsid w:val="00763A3F"/>
    <w:rsid w:val="0076420A"/>
    <w:rsid w:val="0076492F"/>
    <w:rsid w:val="00764D0F"/>
    <w:rsid w:val="00764ED5"/>
    <w:rsid w:val="007665AE"/>
    <w:rsid w:val="007665E7"/>
    <w:rsid w:val="00773845"/>
    <w:rsid w:val="00775364"/>
    <w:rsid w:val="007756AC"/>
    <w:rsid w:val="0077605D"/>
    <w:rsid w:val="007801FF"/>
    <w:rsid w:val="00780896"/>
    <w:rsid w:val="00780E48"/>
    <w:rsid w:val="00780FF2"/>
    <w:rsid w:val="007815A1"/>
    <w:rsid w:val="00783BF6"/>
    <w:rsid w:val="0078501F"/>
    <w:rsid w:val="00785229"/>
    <w:rsid w:val="00786AE8"/>
    <w:rsid w:val="00790806"/>
    <w:rsid w:val="0079186B"/>
    <w:rsid w:val="007919EE"/>
    <w:rsid w:val="007921AF"/>
    <w:rsid w:val="007923D7"/>
    <w:rsid w:val="0079299C"/>
    <w:rsid w:val="00792F10"/>
    <w:rsid w:val="00793312"/>
    <w:rsid w:val="00796A9E"/>
    <w:rsid w:val="00797087"/>
    <w:rsid w:val="00797687"/>
    <w:rsid w:val="007A0BE3"/>
    <w:rsid w:val="007A14F5"/>
    <w:rsid w:val="007A25AF"/>
    <w:rsid w:val="007A2767"/>
    <w:rsid w:val="007A30A5"/>
    <w:rsid w:val="007A3A45"/>
    <w:rsid w:val="007A57B5"/>
    <w:rsid w:val="007A5FB9"/>
    <w:rsid w:val="007A70C6"/>
    <w:rsid w:val="007B11D0"/>
    <w:rsid w:val="007B1CB5"/>
    <w:rsid w:val="007B27E9"/>
    <w:rsid w:val="007B2987"/>
    <w:rsid w:val="007B5B6E"/>
    <w:rsid w:val="007B6A8F"/>
    <w:rsid w:val="007B70D3"/>
    <w:rsid w:val="007C1116"/>
    <w:rsid w:val="007C3AA6"/>
    <w:rsid w:val="007C4EF2"/>
    <w:rsid w:val="007C55D4"/>
    <w:rsid w:val="007C6F65"/>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8EC"/>
    <w:rsid w:val="007E4D5F"/>
    <w:rsid w:val="007E7C73"/>
    <w:rsid w:val="007F0225"/>
    <w:rsid w:val="007F0AC8"/>
    <w:rsid w:val="007F0D7F"/>
    <w:rsid w:val="007F10CE"/>
    <w:rsid w:val="007F167C"/>
    <w:rsid w:val="007F2066"/>
    <w:rsid w:val="007F2B93"/>
    <w:rsid w:val="007F3367"/>
    <w:rsid w:val="007F4005"/>
    <w:rsid w:val="007F4093"/>
    <w:rsid w:val="007F473B"/>
    <w:rsid w:val="007F5137"/>
    <w:rsid w:val="007F64E9"/>
    <w:rsid w:val="007F7EFE"/>
    <w:rsid w:val="0080100B"/>
    <w:rsid w:val="008016B2"/>
    <w:rsid w:val="00802421"/>
    <w:rsid w:val="00802684"/>
    <w:rsid w:val="00804380"/>
    <w:rsid w:val="00804490"/>
    <w:rsid w:val="008049F3"/>
    <w:rsid w:val="00806B2A"/>
    <w:rsid w:val="00806B44"/>
    <w:rsid w:val="00810DA4"/>
    <w:rsid w:val="0081266C"/>
    <w:rsid w:val="00812D6B"/>
    <w:rsid w:val="00813597"/>
    <w:rsid w:val="0081375A"/>
    <w:rsid w:val="00814153"/>
    <w:rsid w:val="00814427"/>
    <w:rsid w:val="00814A29"/>
    <w:rsid w:val="008259B8"/>
    <w:rsid w:val="00825ADA"/>
    <w:rsid w:val="00825DEA"/>
    <w:rsid w:val="008269D1"/>
    <w:rsid w:val="00826DE2"/>
    <w:rsid w:val="008279A8"/>
    <w:rsid w:val="00827E59"/>
    <w:rsid w:val="00830547"/>
    <w:rsid w:val="0083160C"/>
    <w:rsid w:val="0083338A"/>
    <w:rsid w:val="00833923"/>
    <w:rsid w:val="00834CDA"/>
    <w:rsid w:val="008362EF"/>
    <w:rsid w:val="008367C0"/>
    <w:rsid w:val="00840F68"/>
    <w:rsid w:val="00843EBB"/>
    <w:rsid w:val="008443EB"/>
    <w:rsid w:val="00844E1C"/>
    <w:rsid w:val="00850104"/>
    <w:rsid w:val="00855674"/>
    <w:rsid w:val="00855963"/>
    <w:rsid w:val="00861A71"/>
    <w:rsid w:val="00861E88"/>
    <w:rsid w:val="0086291A"/>
    <w:rsid w:val="00862D4F"/>
    <w:rsid w:val="008630E5"/>
    <w:rsid w:val="00865ACD"/>
    <w:rsid w:val="0087024A"/>
    <w:rsid w:val="00871456"/>
    <w:rsid w:val="00871C4A"/>
    <w:rsid w:val="00872ABA"/>
    <w:rsid w:val="00872B47"/>
    <w:rsid w:val="00872FCE"/>
    <w:rsid w:val="00874EBD"/>
    <w:rsid w:val="008761FC"/>
    <w:rsid w:val="00876856"/>
    <w:rsid w:val="0087711A"/>
    <w:rsid w:val="0087788E"/>
    <w:rsid w:val="00877D2F"/>
    <w:rsid w:val="008800C1"/>
    <w:rsid w:val="00880F0C"/>
    <w:rsid w:val="00881137"/>
    <w:rsid w:val="00882B38"/>
    <w:rsid w:val="00883A75"/>
    <w:rsid w:val="00883B8A"/>
    <w:rsid w:val="00883F98"/>
    <w:rsid w:val="00884396"/>
    <w:rsid w:val="008843FC"/>
    <w:rsid w:val="008844EF"/>
    <w:rsid w:val="008862BD"/>
    <w:rsid w:val="008917E7"/>
    <w:rsid w:val="0089467B"/>
    <w:rsid w:val="008962E9"/>
    <w:rsid w:val="0089653C"/>
    <w:rsid w:val="008A0DE6"/>
    <w:rsid w:val="008A1FF5"/>
    <w:rsid w:val="008A233D"/>
    <w:rsid w:val="008A237E"/>
    <w:rsid w:val="008A2781"/>
    <w:rsid w:val="008A38B1"/>
    <w:rsid w:val="008A447D"/>
    <w:rsid w:val="008A4AF5"/>
    <w:rsid w:val="008A62A5"/>
    <w:rsid w:val="008A6E9A"/>
    <w:rsid w:val="008A7E2E"/>
    <w:rsid w:val="008B09A1"/>
    <w:rsid w:val="008B1756"/>
    <w:rsid w:val="008B18AE"/>
    <w:rsid w:val="008B3124"/>
    <w:rsid w:val="008B39B8"/>
    <w:rsid w:val="008B4C8D"/>
    <w:rsid w:val="008B6595"/>
    <w:rsid w:val="008B6744"/>
    <w:rsid w:val="008B6BED"/>
    <w:rsid w:val="008B72A5"/>
    <w:rsid w:val="008B7762"/>
    <w:rsid w:val="008C03E2"/>
    <w:rsid w:val="008C0421"/>
    <w:rsid w:val="008C1918"/>
    <w:rsid w:val="008C1A51"/>
    <w:rsid w:val="008C2A4A"/>
    <w:rsid w:val="008C2CCD"/>
    <w:rsid w:val="008C2F29"/>
    <w:rsid w:val="008C4675"/>
    <w:rsid w:val="008C4AD0"/>
    <w:rsid w:val="008C50D3"/>
    <w:rsid w:val="008C5E4E"/>
    <w:rsid w:val="008C5E56"/>
    <w:rsid w:val="008C5F9A"/>
    <w:rsid w:val="008C6B30"/>
    <w:rsid w:val="008D29F5"/>
    <w:rsid w:val="008D3033"/>
    <w:rsid w:val="008D307E"/>
    <w:rsid w:val="008D3E25"/>
    <w:rsid w:val="008D493B"/>
    <w:rsid w:val="008D4A7C"/>
    <w:rsid w:val="008D51DA"/>
    <w:rsid w:val="008D53A9"/>
    <w:rsid w:val="008D5615"/>
    <w:rsid w:val="008D5F0D"/>
    <w:rsid w:val="008D683A"/>
    <w:rsid w:val="008E0359"/>
    <w:rsid w:val="008E0805"/>
    <w:rsid w:val="008E0FFB"/>
    <w:rsid w:val="008E11F0"/>
    <w:rsid w:val="008E260D"/>
    <w:rsid w:val="008E2B4D"/>
    <w:rsid w:val="008E3094"/>
    <w:rsid w:val="008E3295"/>
    <w:rsid w:val="008E3532"/>
    <w:rsid w:val="008E392B"/>
    <w:rsid w:val="008E55EA"/>
    <w:rsid w:val="008E5926"/>
    <w:rsid w:val="008E74A4"/>
    <w:rsid w:val="008E75C5"/>
    <w:rsid w:val="008E7887"/>
    <w:rsid w:val="008E7E6E"/>
    <w:rsid w:val="008F1194"/>
    <w:rsid w:val="008F1816"/>
    <w:rsid w:val="008F1884"/>
    <w:rsid w:val="008F20AA"/>
    <w:rsid w:val="008F20FA"/>
    <w:rsid w:val="008F237A"/>
    <w:rsid w:val="008F2796"/>
    <w:rsid w:val="008F29A9"/>
    <w:rsid w:val="008F34D3"/>
    <w:rsid w:val="008F43A0"/>
    <w:rsid w:val="008F4702"/>
    <w:rsid w:val="008F5DDE"/>
    <w:rsid w:val="008F5F55"/>
    <w:rsid w:val="008F66A7"/>
    <w:rsid w:val="008F688C"/>
    <w:rsid w:val="008F6A2F"/>
    <w:rsid w:val="008F6B5E"/>
    <w:rsid w:val="008F755E"/>
    <w:rsid w:val="008F79D0"/>
    <w:rsid w:val="009008B1"/>
    <w:rsid w:val="009014E6"/>
    <w:rsid w:val="00902015"/>
    <w:rsid w:val="00903531"/>
    <w:rsid w:val="00903F29"/>
    <w:rsid w:val="00904A65"/>
    <w:rsid w:val="00904DDB"/>
    <w:rsid w:val="00905793"/>
    <w:rsid w:val="00906451"/>
    <w:rsid w:val="00907263"/>
    <w:rsid w:val="0090768C"/>
    <w:rsid w:val="009123F6"/>
    <w:rsid w:val="00913E2A"/>
    <w:rsid w:val="00913F4D"/>
    <w:rsid w:val="0091468D"/>
    <w:rsid w:val="0091475E"/>
    <w:rsid w:val="00916155"/>
    <w:rsid w:val="009163B6"/>
    <w:rsid w:val="00916B61"/>
    <w:rsid w:val="00917ED2"/>
    <w:rsid w:val="00917F42"/>
    <w:rsid w:val="00920F99"/>
    <w:rsid w:val="009217A9"/>
    <w:rsid w:val="00922F1E"/>
    <w:rsid w:val="00922F29"/>
    <w:rsid w:val="009231E6"/>
    <w:rsid w:val="00924ED9"/>
    <w:rsid w:val="009274FA"/>
    <w:rsid w:val="0093042C"/>
    <w:rsid w:val="00930453"/>
    <w:rsid w:val="00931316"/>
    <w:rsid w:val="00931AD6"/>
    <w:rsid w:val="00933086"/>
    <w:rsid w:val="00934A0F"/>
    <w:rsid w:val="00937ED6"/>
    <w:rsid w:val="009406E7"/>
    <w:rsid w:val="00940B04"/>
    <w:rsid w:val="00941217"/>
    <w:rsid w:val="00942681"/>
    <w:rsid w:val="00943948"/>
    <w:rsid w:val="00944AB3"/>
    <w:rsid w:val="00946893"/>
    <w:rsid w:val="00946D10"/>
    <w:rsid w:val="00950141"/>
    <w:rsid w:val="00950840"/>
    <w:rsid w:val="00950BCE"/>
    <w:rsid w:val="00950FC7"/>
    <w:rsid w:val="00953FB3"/>
    <w:rsid w:val="0095455D"/>
    <w:rsid w:val="0095482D"/>
    <w:rsid w:val="009563AA"/>
    <w:rsid w:val="0095738C"/>
    <w:rsid w:val="00957540"/>
    <w:rsid w:val="009617F6"/>
    <w:rsid w:val="009623A4"/>
    <w:rsid w:val="00964C1A"/>
    <w:rsid w:val="0096515A"/>
    <w:rsid w:val="00965C79"/>
    <w:rsid w:val="00966601"/>
    <w:rsid w:val="00967094"/>
    <w:rsid w:val="00970079"/>
    <w:rsid w:val="009700A9"/>
    <w:rsid w:val="00970A79"/>
    <w:rsid w:val="00973C9C"/>
    <w:rsid w:val="009752BD"/>
    <w:rsid w:val="009758CF"/>
    <w:rsid w:val="009773CD"/>
    <w:rsid w:val="00981C20"/>
    <w:rsid w:val="00983BCE"/>
    <w:rsid w:val="00983DEA"/>
    <w:rsid w:val="0098672A"/>
    <w:rsid w:val="00986870"/>
    <w:rsid w:val="009875D0"/>
    <w:rsid w:val="00990141"/>
    <w:rsid w:val="00990D6F"/>
    <w:rsid w:val="0099157D"/>
    <w:rsid w:val="009920BF"/>
    <w:rsid w:val="0099378B"/>
    <w:rsid w:val="00993A67"/>
    <w:rsid w:val="00994D7F"/>
    <w:rsid w:val="009962A0"/>
    <w:rsid w:val="0099644E"/>
    <w:rsid w:val="00996F8C"/>
    <w:rsid w:val="00996FEE"/>
    <w:rsid w:val="009A0627"/>
    <w:rsid w:val="009A44CB"/>
    <w:rsid w:val="009A454D"/>
    <w:rsid w:val="009A472B"/>
    <w:rsid w:val="009A572A"/>
    <w:rsid w:val="009A5C14"/>
    <w:rsid w:val="009A7763"/>
    <w:rsid w:val="009A7B95"/>
    <w:rsid w:val="009B05E8"/>
    <w:rsid w:val="009B05F1"/>
    <w:rsid w:val="009B1165"/>
    <w:rsid w:val="009B126C"/>
    <w:rsid w:val="009B142C"/>
    <w:rsid w:val="009B2CF2"/>
    <w:rsid w:val="009B30DC"/>
    <w:rsid w:val="009B38A2"/>
    <w:rsid w:val="009B45E7"/>
    <w:rsid w:val="009B493A"/>
    <w:rsid w:val="009B4DE3"/>
    <w:rsid w:val="009B6612"/>
    <w:rsid w:val="009B6A55"/>
    <w:rsid w:val="009C0694"/>
    <w:rsid w:val="009C158C"/>
    <w:rsid w:val="009C196E"/>
    <w:rsid w:val="009C3B52"/>
    <w:rsid w:val="009C3CA6"/>
    <w:rsid w:val="009C4A6F"/>
    <w:rsid w:val="009C6025"/>
    <w:rsid w:val="009C67E7"/>
    <w:rsid w:val="009C6A10"/>
    <w:rsid w:val="009C791B"/>
    <w:rsid w:val="009D0B9C"/>
    <w:rsid w:val="009D10BC"/>
    <w:rsid w:val="009D18A0"/>
    <w:rsid w:val="009D1BEE"/>
    <w:rsid w:val="009D1EF0"/>
    <w:rsid w:val="009D2082"/>
    <w:rsid w:val="009D478F"/>
    <w:rsid w:val="009D479C"/>
    <w:rsid w:val="009D5125"/>
    <w:rsid w:val="009D5ED6"/>
    <w:rsid w:val="009D69A8"/>
    <w:rsid w:val="009D705F"/>
    <w:rsid w:val="009D73BF"/>
    <w:rsid w:val="009D7BE9"/>
    <w:rsid w:val="009D7BFB"/>
    <w:rsid w:val="009D7E79"/>
    <w:rsid w:val="009E08AF"/>
    <w:rsid w:val="009E1143"/>
    <w:rsid w:val="009E161E"/>
    <w:rsid w:val="009E1D60"/>
    <w:rsid w:val="009E2925"/>
    <w:rsid w:val="009E3549"/>
    <w:rsid w:val="009E409E"/>
    <w:rsid w:val="009E4AE4"/>
    <w:rsid w:val="009E6019"/>
    <w:rsid w:val="009E62C5"/>
    <w:rsid w:val="009E63C4"/>
    <w:rsid w:val="009E7131"/>
    <w:rsid w:val="009E78FC"/>
    <w:rsid w:val="009E7ADE"/>
    <w:rsid w:val="009F0065"/>
    <w:rsid w:val="009F0651"/>
    <w:rsid w:val="009F0908"/>
    <w:rsid w:val="009F1BCB"/>
    <w:rsid w:val="009F2488"/>
    <w:rsid w:val="009F421F"/>
    <w:rsid w:val="009F4370"/>
    <w:rsid w:val="009F62DB"/>
    <w:rsid w:val="009F6E81"/>
    <w:rsid w:val="009F7321"/>
    <w:rsid w:val="00A00194"/>
    <w:rsid w:val="00A02556"/>
    <w:rsid w:val="00A02BF2"/>
    <w:rsid w:val="00A031F9"/>
    <w:rsid w:val="00A039A5"/>
    <w:rsid w:val="00A058A2"/>
    <w:rsid w:val="00A05A0B"/>
    <w:rsid w:val="00A05E0C"/>
    <w:rsid w:val="00A12FE6"/>
    <w:rsid w:val="00A135CC"/>
    <w:rsid w:val="00A13DD2"/>
    <w:rsid w:val="00A14944"/>
    <w:rsid w:val="00A2017E"/>
    <w:rsid w:val="00A206EC"/>
    <w:rsid w:val="00A2337E"/>
    <w:rsid w:val="00A24A28"/>
    <w:rsid w:val="00A24FA6"/>
    <w:rsid w:val="00A2547A"/>
    <w:rsid w:val="00A261BA"/>
    <w:rsid w:val="00A27D3C"/>
    <w:rsid w:val="00A3030B"/>
    <w:rsid w:val="00A32DAE"/>
    <w:rsid w:val="00A33C0F"/>
    <w:rsid w:val="00A3639E"/>
    <w:rsid w:val="00A3659C"/>
    <w:rsid w:val="00A40328"/>
    <w:rsid w:val="00A403A8"/>
    <w:rsid w:val="00A404B2"/>
    <w:rsid w:val="00A41901"/>
    <w:rsid w:val="00A428F3"/>
    <w:rsid w:val="00A446D4"/>
    <w:rsid w:val="00A4582E"/>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58D"/>
    <w:rsid w:val="00A63F2B"/>
    <w:rsid w:val="00A63FA3"/>
    <w:rsid w:val="00A643BD"/>
    <w:rsid w:val="00A64491"/>
    <w:rsid w:val="00A644BC"/>
    <w:rsid w:val="00A6528A"/>
    <w:rsid w:val="00A666EB"/>
    <w:rsid w:val="00A66DA4"/>
    <w:rsid w:val="00A67944"/>
    <w:rsid w:val="00A7441C"/>
    <w:rsid w:val="00A75036"/>
    <w:rsid w:val="00A7606A"/>
    <w:rsid w:val="00A7702A"/>
    <w:rsid w:val="00A80332"/>
    <w:rsid w:val="00A80D18"/>
    <w:rsid w:val="00A81274"/>
    <w:rsid w:val="00A84413"/>
    <w:rsid w:val="00A85069"/>
    <w:rsid w:val="00A851D3"/>
    <w:rsid w:val="00A85C99"/>
    <w:rsid w:val="00A86059"/>
    <w:rsid w:val="00A8682A"/>
    <w:rsid w:val="00A877EA"/>
    <w:rsid w:val="00A90434"/>
    <w:rsid w:val="00A90848"/>
    <w:rsid w:val="00A90C30"/>
    <w:rsid w:val="00A90D5D"/>
    <w:rsid w:val="00A919A8"/>
    <w:rsid w:val="00A93FBF"/>
    <w:rsid w:val="00A95E04"/>
    <w:rsid w:val="00A9702D"/>
    <w:rsid w:val="00A97794"/>
    <w:rsid w:val="00A97AED"/>
    <w:rsid w:val="00AA09CE"/>
    <w:rsid w:val="00AA109A"/>
    <w:rsid w:val="00AA184D"/>
    <w:rsid w:val="00AA216E"/>
    <w:rsid w:val="00AA3ADF"/>
    <w:rsid w:val="00AA4945"/>
    <w:rsid w:val="00AA4F18"/>
    <w:rsid w:val="00AA7490"/>
    <w:rsid w:val="00AA7DEE"/>
    <w:rsid w:val="00AA7EB9"/>
    <w:rsid w:val="00AA7FB3"/>
    <w:rsid w:val="00AB0321"/>
    <w:rsid w:val="00AB0C10"/>
    <w:rsid w:val="00AB21EA"/>
    <w:rsid w:val="00AB22C2"/>
    <w:rsid w:val="00AB29DA"/>
    <w:rsid w:val="00AB2D5C"/>
    <w:rsid w:val="00AB51C0"/>
    <w:rsid w:val="00AB538D"/>
    <w:rsid w:val="00AB6073"/>
    <w:rsid w:val="00AB67E3"/>
    <w:rsid w:val="00AB70F7"/>
    <w:rsid w:val="00AC0AB2"/>
    <w:rsid w:val="00AC12F5"/>
    <w:rsid w:val="00AC250D"/>
    <w:rsid w:val="00AC37A1"/>
    <w:rsid w:val="00AC3C5D"/>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1AA"/>
    <w:rsid w:val="00AF165B"/>
    <w:rsid w:val="00AF3257"/>
    <w:rsid w:val="00AF3D16"/>
    <w:rsid w:val="00AF3D8D"/>
    <w:rsid w:val="00AF4186"/>
    <w:rsid w:val="00B01969"/>
    <w:rsid w:val="00B04BED"/>
    <w:rsid w:val="00B06368"/>
    <w:rsid w:val="00B0750E"/>
    <w:rsid w:val="00B0771E"/>
    <w:rsid w:val="00B10470"/>
    <w:rsid w:val="00B10AEC"/>
    <w:rsid w:val="00B11217"/>
    <w:rsid w:val="00B12515"/>
    <w:rsid w:val="00B1525D"/>
    <w:rsid w:val="00B15C55"/>
    <w:rsid w:val="00B16963"/>
    <w:rsid w:val="00B2044E"/>
    <w:rsid w:val="00B21902"/>
    <w:rsid w:val="00B232D8"/>
    <w:rsid w:val="00B234B3"/>
    <w:rsid w:val="00B24E70"/>
    <w:rsid w:val="00B24FA2"/>
    <w:rsid w:val="00B304AF"/>
    <w:rsid w:val="00B30678"/>
    <w:rsid w:val="00B30BB7"/>
    <w:rsid w:val="00B320FF"/>
    <w:rsid w:val="00B32B9E"/>
    <w:rsid w:val="00B32FB1"/>
    <w:rsid w:val="00B35AFE"/>
    <w:rsid w:val="00B372E0"/>
    <w:rsid w:val="00B40329"/>
    <w:rsid w:val="00B40B8D"/>
    <w:rsid w:val="00B40C88"/>
    <w:rsid w:val="00B4103B"/>
    <w:rsid w:val="00B41973"/>
    <w:rsid w:val="00B42C23"/>
    <w:rsid w:val="00B432A2"/>
    <w:rsid w:val="00B45440"/>
    <w:rsid w:val="00B45C36"/>
    <w:rsid w:val="00B5466A"/>
    <w:rsid w:val="00B546E5"/>
    <w:rsid w:val="00B54E07"/>
    <w:rsid w:val="00B565C8"/>
    <w:rsid w:val="00B57F78"/>
    <w:rsid w:val="00B62F9E"/>
    <w:rsid w:val="00B66641"/>
    <w:rsid w:val="00B67EAB"/>
    <w:rsid w:val="00B67ED0"/>
    <w:rsid w:val="00B70E53"/>
    <w:rsid w:val="00B71451"/>
    <w:rsid w:val="00B74278"/>
    <w:rsid w:val="00B74705"/>
    <w:rsid w:val="00B74730"/>
    <w:rsid w:val="00B75149"/>
    <w:rsid w:val="00B75C22"/>
    <w:rsid w:val="00B803D6"/>
    <w:rsid w:val="00B83257"/>
    <w:rsid w:val="00B90291"/>
    <w:rsid w:val="00B903E3"/>
    <w:rsid w:val="00B90D14"/>
    <w:rsid w:val="00B911C2"/>
    <w:rsid w:val="00B91DF8"/>
    <w:rsid w:val="00B92A03"/>
    <w:rsid w:val="00B92ABE"/>
    <w:rsid w:val="00B92C72"/>
    <w:rsid w:val="00B9302A"/>
    <w:rsid w:val="00B93396"/>
    <w:rsid w:val="00B93CEE"/>
    <w:rsid w:val="00B9459E"/>
    <w:rsid w:val="00B94B20"/>
    <w:rsid w:val="00B95300"/>
    <w:rsid w:val="00B9543E"/>
    <w:rsid w:val="00B9594C"/>
    <w:rsid w:val="00B96F03"/>
    <w:rsid w:val="00B9734C"/>
    <w:rsid w:val="00BA0B05"/>
    <w:rsid w:val="00BA1C6F"/>
    <w:rsid w:val="00BA207D"/>
    <w:rsid w:val="00BA314C"/>
    <w:rsid w:val="00BA4235"/>
    <w:rsid w:val="00BA6C1F"/>
    <w:rsid w:val="00BB1E94"/>
    <w:rsid w:val="00BB4172"/>
    <w:rsid w:val="00BB57F4"/>
    <w:rsid w:val="00BB64DA"/>
    <w:rsid w:val="00BB66E4"/>
    <w:rsid w:val="00BB7712"/>
    <w:rsid w:val="00BC177D"/>
    <w:rsid w:val="00BC1A41"/>
    <w:rsid w:val="00BC2114"/>
    <w:rsid w:val="00BC2908"/>
    <w:rsid w:val="00BC3FC3"/>
    <w:rsid w:val="00BC5224"/>
    <w:rsid w:val="00BC6BAB"/>
    <w:rsid w:val="00BC6FDF"/>
    <w:rsid w:val="00BC7AE4"/>
    <w:rsid w:val="00BC7D79"/>
    <w:rsid w:val="00BD02DD"/>
    <w:rsid w:val="00BD09E2"/>
    <w:rsid w:val="00BD196C"/>
    <w:rsid w:val="00BD2E62"/>
    <w:rsid w:val="00BD4327"/>
    <w:rsid w:val="00BD4484"/>
    <w:rsid w:val="00BD4A4B"/>
    <w:rsid w:val="00BD4C27"/>
    <w:rsid w:val="00BD6E92"/>
    <w:rsid w:val="00BE0F25"/>
    <w:rsid w:val="00BE127D"/>
    <w:rsid w:val="00BE274E"/>
    <w:rsid w:val="00BE336C"/>
    <w:rsid w:val="00BE3ADC"/>
    <w:rsid w:val="00BE445D"/>
    <w:rsid w:val="00BE4D2C"/>
    <w:rsid w:val="00BE7F6B"/>
    <w:rsid w:val="00BF0382"/>
    <w:rsid w:val="00BF082E"/>
    <w:rsid w:val="00BF1E0A"/>
    <w:rsid w:val="00BF27E9"/>
    <w:rsid w:val="00BF2A73"/>
    <w:rsid w:val="00BF38FD"/>
    <w:rsid w:val="00BF3947"/>
    <w:rsid w:val="00BF5B30"/>
    <w:rsid w:val="00BF5C4C"/>
    <w:rsid w:val="00BF6F76"/>
    <w:rsid w:val="00C02978"/>
    <w:rsid w:val="00C034A9"/>
    <w:rsid w:val="00C03859"/>
    <w:rsid w:val="00C043E8"/>
    <w:rsid w:val="00C05E01"/>
    <w:rsid w:val="00C05E42"/>
    <w:rsid w:val="00C063F1"/>
    <w:rsid w:val="00C078BD"/>
    <w:rsid w:val="00C07CD2"/>
    <w:rsid w:val="00C11973"/>
    <w:rsid w:val="00C11A47"/>
    <w:rsid w:val="00C12098"/>
    <w:rsid w:val="00C13805"/>
    <w:rsid w:val="00C15CA6"/>
    <w:rsid w:val="00C16807"/>
    <w:rsid w:val="00C2025F"/>
    <w:rsid w:val="00C21021"/>
    <w:rsid w:val="00C2167D"/>
    <w:rsid w:val="00C21BCC"/>
    <w:rsid w:val="00C2403A"/>
    <w:rsid w:val="00C240EF"/>
    <w:rsid w:val="00C24CC2"/>
    <w:rsid w:val="00C266D3"/>
    <w:rsid w:val="00C266DA"/>
    <w:rsid w:val="00C26FE9"/>
    <w:rsid w:val="00C27D03"/>
    <w:rsid w:val="00C304DA"/>
    <w:rsid w:val="00C31095"/>
    <w:rsid w:val="00C32321"/>
    <w:rsid w:val="00C3296F"/>
    <w:rsid w:val="00C341D8"/>
    <w:rsid w:val="00C349F0"/>
    <w:rsid w:val="00C34A1E"/>
    <w:rsid w:val="00C3720B"/>
    <w:rsid w:val="00C374F8"/>
    <w:rsid w:val="00C37781"/>
    <w:rsid w:val="00C41423"/>
    <w:rsid w:val="00C4334F"/>
    <w:rsid w:val="00C4434A"/>
    <w:rsid w:val="00C4485D"/>
    <w:rsid w:val="00C44974"/>
    <w:rsid w:val="00C44E9E"/>
    <w:rsid w:val="00C46098"/>
    <w:rsid w:val="00C46439"/>
    <w:rsid w:val="00C465CE"/>
    <w:rsid w:val="00C46A90"/>
    <w:rsid w:val="00C46B32"/>
    <w:rsid w:val="00C47A26"/>
    <w:rsid w:val="00C50E1F"/>
    <w:rsid w:val="00C516EC"/>
    <w:rsid w:val="00C517FD"/>
    <w:rsid w:val="00C53DC9"/>
    <w:rsid w:val="00C55A0A"/>
    <w:rsid w:val="00C571A9"/>
    <w:rsid w:val="00C61083"/>
    <w:rsid w:val="00C615A7"/>
    <w:rsid w:val="00C616BF"/>
    <w:rsid w:val="00C62C5D"/>
    <w:rsid w:val="00C646CF"/>
    <w:rsid w:val="00C64873"/>
    <w:rsid w:val="00C65A0A"/>
    <w:rsid w:val="00C65D1C"/>
    <w:rsid w:val="00C66628"/>
    <w:rsid w:val="00C67FAD"/>
    <w:rsid w:val="00C7004C"/>
    <w:rsid w:val="00C711C5"/>
    <w:rsid w:val="00C7335C"/>
    <w:rsid w:val="00C73C13"/>
    <w:rsid w:val="00C7422F"/>
    <w:rsid w:val="00C74528"/>
    <w:rsid w:val="00C74812"/>
    <w:rsid w:val="00C751BF"/>
    <w:rsid w:val="00C75AEB"/>
    <w:rsid w:val="00C762F7"/>
    <w:rsid w:val="00C7651A"/>
    <w:rsid w:val="00C77280"/>
    <w:rsid w:val="00C77C83"/>
    <w:rsid w:val="00C812AA"/>
    <w:rsid w:val="00C817E6"/>
    <w:rsid w:val="00C81AD1"/>
    <w:rsid w:val="00C82138"/>
    <w:rsid w:val="00C82CB6"/>
    <w:rsid w:val="00C83111"/>
    <w:rsid w:val="00C84265"/>
    <w:rsid w:val="00C84ED5"/>
    <w:rsid w:val="00C858DB"/>
    <w:rsid w:val="00C9070B"/>
    <w:rsid w:val="00C909ED"/>
    <w:rsid w:val="00C94791"/>
    <w:rsid w:val="00C95057"/>
    <w:rsid w:val="00C95700"/>
    <w:rsid w:val="00C96465"/>
    <w:rsid w:val="00C96D0A"/>
    <w:rsid w:val="00CA001B"/>
    <w:rsid w:val="00CA01AD"/>
    <w:rsid w:val="00CA061E"/>
    <w:rsid w:val="00CA1130"/>
    <w:rsid w:val="00CA2625"/>
    <w:rsid w:val="00CA3024"/>
    <w:rsid w:val="00CA3E46"/>
    <w:rsid w:val="00CA434D"/>
    <w:rsid w:val="00CA5458"/>
    <w:rsid w:val="00CA5475"/>
    <w:rsid w:val="00CA5DE4"/>
    <w:rsid w:val="00CA5E21"/>
    <w:rsid w:val="00CA6474"/>
    <w:rsid w:val="00CA6B9A"/>
    <w:rsid w:val="00CA6FE3"/>
    <w:rsid w:val="00CA7B7F"/>
    <w:rsid w:val="00CB0C96"/>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BBB"/>
    <w:rsid w:val="00CD3C54"/>
    <w:rsid w:val="00CD7AAD"/>
    <w:rsid w:val="00CD7F31"/>
    <w:rsid w:val="00CE21A4"/>
    <w:rsid w:val="00CE325F"/>
    <w:rsid w:val="00CE3521"/>
    <w:rsid w:val="00CE3A2A"/>
    <w:rsid w:val="00CE5723"/>
    <w:rsid w:val="00CE63AA"/>
    <w:rsid w:val="00CE6DB3"/>
    <w:rsid w:val="00CF1168"/>
    <w:rsid w:val="00CF1C88"/>
    <w:rsid w:val="00CF3020"/>
    <w:rsid w:val="00CF3034"/>
    <w:rsid w:val="00CF3608"/>
    <w:rsid w:val="00CF3FC7"/>
    <w:rsid w:val="00CF5493"/>
    <w:rsid w:val="00CF5603"/>
    <w:rsid w:val="00CF67D8"/>
    <w:rsid w:val="00CF694E"/>
    <w:rsid w:val="00CF6B80"/>
    <w:rsid w:val="00CF6BF4"/>
    <w:rsid w:val="00CF7DE9"/>
    <w:rsid w:val="00D01398"/>
    <w:rsid w:val="00D0189D"/>
    <w:rsid w:val="00D02427"/>
    <w:rsid w:val="00D0403A"/>
    <w:rsid w:val="00D04528"/>
    <w:rsid w:val="00D050BA"/>
    <w:rsid w:val="00D05E32"/>
    <w:rsid w:val="00D06FC6"/>
    <w:rsid w:val="00D11CE7"/>
    <w:rsid w:val="00D12281"/>
    <w:rsid w:val="00D12A9E"/>
    <w:rsid w:val="00D14D03"/>
    <w:rsid w:val="00D15813"/>
    <w:rsid w:val="00D176D6"/>
    <w:rsid w:val="00D21F17"/>
    <w:rsid w:val="00D225A9"/>
    <w:rsid w:val="00D231C5"/>
    <w:rsid w:val="00D2772F"/>
    <w:rsid w:val="00D3079F"/>
    <w:rsid w:val="00D30C5E"/>
    <w:rsid w:val="00D3100A"/>
    <w:rsid w:val="00D312EB"/>
    <w:rsid w:val="00D332A8"/>
    <w:rsid w:val="00D3348F"/>
    <w:rsid w:val="00D3413F"/>
    <w:rsid w:val="00D3483B"/>
    <w:rsid w:val="00D3497A"/>
    <w:rsid w:val="00D35343"/>
    <w:rsid w:val="00D36A2A"/>
    <w:rsid w:val="00D373B0"/>
    <w:rsid w:val="00D4142C"/>
    <w:rsid w:val="00D4229B"/>
    <w:rsid w:val="00D4309A"/>
    <w:rsid w:val="00D446B4"/>
    <w:rsid w:val="00D45C32"/>
    <w:rsid w:val="00D462AD"/>
    <w:rsid w:val="00D46FF7"/>
    <w:rsid w:val="00D47431"/>
    <w:rsid w:val="00D47961"/>
    <w:rsid w:val="00D47AD5"/>
    <w:rsid w:val="00D518C3"/>
    <w:rsid w:val="00D51C09"/>
    <w:rsid w:val="00D51D3D"/>
    <w:rsid w:val="00D532C6"/>
    <w:rsid w:val="00D53F25"/>
    <w:rsid w:val="00D5426B"/>
    <w:rsid w:val="00D55010"/>
    <w:rsid w:val="00D5599A"/>
    <w:rsid w:val="00D55B21"/>
    <w:rsid w:val="00D569AD"/>
    <w:rsid w:val="00D57FB7"/>
    <w:rsid w:val="00D605E5"/>
    <w:rsid w:val="00D6268B"/>
    <w:rsid w:val="00D62A8B"/>
    <w:rsid w:val="00D6388B"/>
    <w:rsid w:val="00D65D14"/>
    <w:rsid w:val="00D663BB"/>
    <w:rsid w:val="00D664C7"/>
    <w:rsid w:val="00D71595"/>
    <w:rsid w:val="00D71B33"/>
    <w:rsid w:val="00D740F4"/>
    <w:rsid w:val="00D75900"/>
    <w:rsid w:val="00D802FD"/>
    <w:rsid w:val="00D814B5"/>
    <w:rsid w:val="00D869C5"/>
    <w:rsid w:val="00D86B41"/>
    <w:rsid w:val="00D871E5"/>
    <w:rsid w:val="00D87EE8"/>
    <w:rsid w:val="00D92BE8"/>
    <w:rsid w:val="00D932E1"/>
    <w:rsid w:val="00D937A6"/>
    <w:rsid w:val="00D94A5A"/>
    <w:rsid w:val="00D95258"/>
    <w:rsid w:val="00D9626A"/>
    <w:rsid w:val="00DA0427"/>
    <w:rsid w:val="00DA05B7"/>
    <w:rsid w:val="00DA1B0F"/>
    <w:rsid w:val="00DA1E39"/>
    <w:rsid w:val="00DA2171"/>
    <w:rsid w:val="00DA266F"/>
    <w:rsid w:val="00DA2928"/>
    <w:rsid w:val="00DA3AE2"/>
    <w:rsid w:val="00DA3B33"/>
    <w:rsid w:val="00DA42A3"/>
    <w:rsid w:val="00DA5B4D"/>
    <w:rsid w:val="00DA7075"/>
    <w:rsid w:val="00DA74A2"/>
    <w:rsid w:val="00DA7BCE"/>
    <w:rsid w:val="00DB0BBC"/>
    <w:rsid w:val="00DB191E"/>
    <w:rsid w:val="00DB5704"/>
    <w:rsid w:val="00DB6664"/>
    <w:rsid w:val="00DB73FB"/>
    <w:rsid w:val="00DB77E6"/>
    <w:rsid w:val="00DB7CD4"/>
    <w:rsid w:val="00DC02BF"/>
    <w:rsid w:val="00DC0DBE"/>
    <w:rsid w:val="00DC3423"/>
    <w:rsid w:val="00DC429D"/>
    <w:rsid w:val="00DC456A"/>
    <w:rsid w:val="00DC497E"/>
    <w:rsid w:val="00DC6E17"/>
    <w:rsid w:val="00DC6F8F"/>
    <w:rsid w:val="00DC7C69"/>
    <w:rsid w:val="00DD26B7"/>
    <w:rsid w:val="00DD35D4"/>
    <w:rsid w:val="00DD4CFC"/>
    <w:rsid w:val="00DD4DCA"/>
    <w:rsid w:val="00DD5CCB"/>
    <w:rsid w:val="00DD6003"/>
    <w:rsid w:val="00DD7B1D"/>
    <w:rsid w:val="00DE1A4C"/>
    <w:rsid w:val="00DE285A"/>
    <w:rsid w:val="00DE2F3F"/>
    <w:rsid w:val="00DE3645"/>
    <w:rsid w:val="00DE378A"/>
    <w:rsid w:val="00DE3973"/>
    <w:rsid w:val="00DE3B25"/>
    <w:rsid w:val="00DE4C19"/>
    <w:rsid w:val="00DE5417"/>
    <w:rsid w:val="00DE5630"/>
    <w:rsid w:val="00DE7227"/>
    <w:rsid w:val="00DE76FC"/>
    <w:rsid w:val="00DF2891"/>
    <w:rsid w:val="00DF355A"/>
    <w:rsid w:val="00DF3789"/>
    <w:rsid w:val="00DF3F22"/>
    <w:rsid w:val="00DF4BAB"/>
    <w:rsid w:val="00DF5D14"/>
    <w:rsid w:val="00DF608E"/>
    <w:rsid w:val="00DF6CC5"/>
    <w:rsid w:val="00DF6FF1"/>
    <w:rsid w:val="00DF7376"/>
    <w:rsid w:val="00DF76E0"/>
    <w:rsid w:val="00E007FD"/>
    <w:rsid w:val="00E015A9"/>
    <w:rsid w:val="00E01B45"/>
    <w:rsid w:val="00E02883"/>
    <w:rsid w:val="00E03C14"/>
    <w:rsid w:val="00E04029"/>
    <w:rsid w:val="00E05FD7"/>
    <w:rsid w:val="00E0744B"/>
    <w:rsid w:val="00E07667"/>
    <w:rsid w:val="00E07D23"/>
    <w:rsid w:val="00E07E8B"/>
    <w:rsid w:val="00E10861"/>
    <w:rsid w:val="00E10DB8"/>
    <w:rsid w:val="00E120BC"/>
    <w:rsid w:val="00E1258C"/>
    <w:rsid w:val="00E12B4E"/>
    <w:rsid w:val="00E1376C"/>
    <w:rsid w:val="00E15635"/>
    <w:rsid w:val="00E16BEE"/>
    <w:rsid w:val="00E2103E"/>
    <w:rsid w:val="00E21B02"/>
    <w:rsid w:val="00E23869"/>
    <w:rsid w:val="00E26156"/>
    <w:rsid w:val="00E266C9"/>
    <w:rsid w:val="00E27323"/>
    <w:rsid w:val="00E27FA3"/>
    <w:rsid w:val="00E302DF"/>
    <w:rsid w:val="00E3099D"/>
    <w:rsid w:val="00E333FB"/>
    <w:rsid w:val="00E3345C"/>
    <w:rsid w:val="00E35515"/>
    <w:rsid w:val="00E36F7B"/>
    <w:rsid w:val="00E37BE6"/>
    <w:rsid w:val="00E37FE7"/>
    <w:rsid w:val="00E40778"/>
    <w:rsid w:val="00E40F77"/>
    <w:rsid w:val="00E41BCE"/>
    <w:rsid w:val="00E41FE9"/>
    <w:rsid w:val="00E4501A"/>
    <w:rsid w:val="00E4586E"/>
    <w:rsid w:val="00E46051"/>
    <w:rsid w:val="00E46187"/>
    <w:rsid w:val="00E46AD3"/>
    <w:rsid w:val="00E46BFA"/>
    <w:rsid w:val="00E477BE"/>
    <w:rsid w:val="00E47B62"/>
    <w:rsid w:val="00E513F5"/>
    <w:rsid w:val="00E51517"/>
    <w:rsid w:val="00E51AFF"/>
    <w:rsid w:val="00E51F74"/>
    <w:rsid w:val="00E52088"/>
    <w:rsid w:val="00E54533"/>
    <w:rsid w:val="00E55868"/>
    <w:rsid w:val="00E55FE6"/>
    <w:rsid w:val="00E60C14"/>
    <w:rsid w:val="00E61815"/>
    <w:rsid w:val="00E620C7"/>
    <w:rsid w:val="00E653B8"/>
    <w:rsid w:val="00E65D86"/>
    <w:rsid w:val="00E66967"/>
    <w:rsid w:val="00E67E1C"/>
    <w:rsid w:val="00E70E2A"/>
    <w:rsid w:val="00E72C1A"/>
    <w:rsid w:val="00E74BBE"/>
    <w:rsid w:val="00E763CD"/>
    <w:rsid w:val="00E76A0F"/>
    <w:rsid w:val="00E7711B"/>
    <w:rsid w:val="00E80DB0"/>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96ECE"/>
    <w:rsid w:val="00EA1038"/>
    <w:rsid w:val="00EA1BF3"/>
    <w:rsid w:val="00EA28C6"/>
    <w:rsid w:val="00EA38D5"/>
    <w:rsid w:val="00EA4363"/>
    <w:rsid w:val="00EA5409"/>
    <w:rsid w:val="00EA5F10"/>
    <w:rsid w:val="00EA5F30"/>
    <w:rsid w:val="00EA6F59"/>
    <w:rsid w:val="00EA789A"/>
    <w:rsid w:val="00EB0F10"/>
    <w:rsid w:val="00EB19DF"/>
    <w:rsid w:val="00EB219C"/>
    <w:rsid w:val="00EB321E"/>
    <w:rsid w:val="00EB6374"/>
    <w:rsid w:val="00EB64FC"/>
    <w:rsid w:val="00EB7B3E"/>
    <w:rsid w:val="00EC0FC7"/>
    <w:rsid w:val="00EC2B16"/>
    <w:rsid w:val="00EC3466"/>
    <w:rsid w:val="00EC37C6"/>
    <w:rsid w:val="00EC3CEA"/>
    <w:rsid w:val="00EC744B"/>
    <w:rsid w:val="00EC778D"/>
    <w:rsid w:val="00EC7B5A"/>
    <w:rsid w:val="00ED1573"/>
    <w:rsid w:val="00ED1966"/>
    <w:rsid w:val="00ED419B"/>
    <w:rsid w:val="00ED4DA5"/>
    <w:rsid w:val="00ED5501"/>
    <w:rsid w:val="00ED5AF3"/>
    <w:rsid w:val="00ED6E55"/>
    <w:rsid w:val="00ED7419"/>
    <w:rsid w:val="00EE050F"/>
    <w:rsid w:val="00EE081A"/>
    <w:rsid w:val="00EE1131"/>
    <w:rsid w:val="00EE1EB5"/>
    <w:rsid w:val="00EE243B"/>
    <w:rsid w:val="00EE3398"/>
    <w:rsid w:val="00EE3F33"/>
    <w:rsid w:val="00EE60DB"/>
    <w:rsid w:val="00EE7E38"/>
    <w:rsid w:val="00EE7EEA"/>
    <w:rsid w:val="00EF0576"/>
    <w:rsid w:val="00EF1D7E"/>
    <w:rsid w:val="00EF39FC"/>
    <w:rsid w:val="00EF4C2D"/>
    <w:rsid w:val="00EF4CEE"/>
    <w:rsid w:val="00EF5638"/>
    <w:rsid w:val="00EF6801"/>
    <w:rsid w:val="00EF7F09"/>
    <w:rsid w:val="00F0006B"/>
    <w:rsid w:val="00F016CA"/>
    <w:rsid w:val="00F01E4F"/>
    <w:rsid w:val="00F04143"/>
    <w:rsid w:val="00F0482C"/>
    <w:rsid w:val="00F0740D"/>
    <w:rsid w:val="00F07750"/>
    <w:rsid w:val="00F07780"/>
    <w:rsid w:val="00F106C0"/>
    <w:rsid w:val="00F10988"/>
    <w:rsid w:val="00F12073"/>
    <w:rsid w:val="00F12149"/>
    <w:rsid w:val="00F1227F"/>
    <w:rsid w:val="00F13587"/>
    <w:rsid w:val="00F13EAC"/>
    <w:rsid w:val="00F16387"/>
    <w:rsid w:val="00F203C7"/>
    <w:rsid w:val="00F20A07"/>
    <w:rsid w:val="00F210E0"/>
    <w:rsid w:val="00F21646"/>
    <w:rsid w:val="00F21917"/>
    <w:rsid w:val="00F27A4B"/>
    <w:rsid w:val="00F27BB1"/>
    <w:rsid w:val="00F32B0E"/>
    <w:rsid w:val="00F33DC4"/>
    <w:rsid w:val="00F356DB"/>
    <w:rsid w:val="00F35946"/>
    <w:rsid w:val="00F359C0"/>
    <w:rsid w:val="00F37DBE"/>
    <w:rsid w:val="00F401F9"/>
    <w:rsid w:val="00F41F6A"/>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1D14"/>
    <w:rsid w:val="00F64C96"/>
    <w:rsid w:val="00F6631F"/>
    <w:rsid w:val="00F70E60"/>
    <w:rsid w:val="00F72112"/>
    <w:rsid w:val="00F723D6"/>
    <w:rsid w:val="00F724AB"/>
    <w:rsid w:val="00F75E3A"/>
    <w:rsid w:val="00F7612F"/>
    <w:rsid w:val="00F77E87"/>
    <w:rsid w:val="00F806A9"/>
    <w:rsid w:val="00F81620"/>
    <w:rsid w:val="00F81EA3"/>
    <w:rsid w:val="00F8217F"/>
    <w:rsid w:val="00F82DDD"/>
    <w:rsid w:val="00F83113"/>
    <w:rsid w:val="00F83C22"/>
    <w:rsid w:val="00F84521"/>
    <w:rsid w:val="00F8510F"/>
    <w:rsid w:val="00F87451"/>
    <w:rsid w:val="00F906AB"/>
    <w:rsid w:val="00F91766"/>
    <w:rsid w:val="00F91A6E"/>
    <w:rsid w:val="00F91E7B"/>
    <w:rsid w:val="00F91F3D"/>
    <w:rsid w:val="00F94EE2"/>
    <w:rsid w:val="00F9684B"/>
    <w:rsid w:val="00F96B7D"/>
    <w:rsid w:val="00F97412"/>
    <w:rsid w:val="00FA0537"/>
    <w:rsid w:val="00FA1A05"/>
    <w:rsid w:val="00FA25EA"/>
    <w:rsid w:val="00FA2AC8"/>
    <w:rsid w:val="00FA2ECA"/>
    <w:rsid w:val="00FA2FA8"/>
    <w:rsid w:val="00FA4875"/>
    <w:rsid w:val="00FA65E5"/>
    <w:rsid w:val="00FA6A63"/>
    <w:rsid w:val="00FA6D1C"/>
    <w:rsid w:val="00FB1348"/>
    <w:rsid w:val="00FB1EA0"/>
    <w:rsid w:val="00FB2144"/>
    <w:rsid w:val="00FB22F2"/>
    <w:rsid w:val="00FB2DA4"/>
    <w:rsid w:val="00FB31E9"/>
    <w:rsid w:val="00FB45C2"/>
    <w:rsid w:val="00FB6808"/>
    <w:rsid w:val="00FB6B51"/>
    <w:rsid w:val="00FC2786"/>
    <w:rsid w:val="00FC36CB"/>
    <w:rsid w:val="00FC3779"/>
    <w:rsid w:val="00FC400D"/>
    <w:rsid w:val="00FC58AA"/>
    <w:rsid w:val="00FC6BB3"/>
    <w:rsid w:val="00FC77DD"/>
    <w:rsid w:val="00FC7979"/>
    <w:rsid w:val="00FC7CE2"/>
    <w:rsid w:val="00FD1134"/>
    <w:rsid w:val="00FD1489"/>
    <w:rsid w:val="00FD15A5"/>
    <w:rsid w:val="00FD2169"/>
    <w:rsid w:val="00FD24D9"/>
    <w:rsid w:val="00FD2B4A"/>
    <w:rsid w:val="00FD43CA"/>
    <w:rsid w:val="00FD57BD"/>
    <w:rsid w:val="00FD7C6C"/>
    <w:rsid w:val="00FE13C6"/>
    <w:rsid w:val="00FE23C6"/>
    <w:rsid w:val="00FE2E5D"/>
    <w:rsid w:val="00FE54A8"/>
    <w:rsid w:val="00FE6741"/>
    <w:rsid w:val="00FE6B1A"/>
    <w:rsid w:val="00FF06F9"/>
    <w:rsid w:val="00FF0FB4"/>
    <w:rsid w:val="00FF12B9"/>
    <w:rsid w:val="00FF1A88"/>
    <w:rsid w:val="00FF2B2A"/>
    <w:rsid w:val="00FF2B97"/>
    <w:rsid w:val="00FF3080"/>
    <w:rsid w:val="00FF45AE"/>
    <w:rsid w:val="00FF4BB6"/>
    <w:rsid w:val="00FF4EE6"/>
    <w:rsid w:val="00FF4F62"/>
    <w:rsid w:val="00FF529B"/>
    <w:rsid w:val="00FF5907"/>
    <w:rsid w:val="00FF683E"/>
    <w:rsid w:val="01045CFF"/>
    <w:rsid w:val="012F4649"/>
    <w:rsid w:val="0150135E"/>
    <w:rsid w:val="0190526E"/>
    <w:rsid w:val="023A1FF5"/>
    <w:rsid w:val="025E4D25"/>
    <w:rsid w:val="02703976"/>
    <w:rsid w:val="027A73B5"/>
    <w:rsid w:val="0288177F"/>
    <w:rsid w:val="029B17FC"/>
    <w:rsid w:val="02A15D87"/>
    <w:rsid w:val="030D2FAB"/>
    <w:rsid w:val="0334100A"/>
    <w:rsid w:val="035F73AA"/>
    <w:rsid w:val="03731CB9"/>
    <w:rsid w:val="037A3B16"/>
    <w:rsid w:val="03A104E6"/>
    <w:rsid w:val="03B42B71"/>
    <w:rsid w:val="03D00F68"/>
    <w:rsid w:val="03F14378"/>
    <w:rsid w:val="0403683C"/>
    <w:rsid w:val="04411D8D"/>
    <w:rsid w:val="050E44F0"/>
    <w:rsid w:val="0557041D"/>
    <w:rsid w:val="05843056"/>
    <w:rsid w:val="058575CC"/>
    <w:rsid w:val="05C03395"/>
    <w:rsid w:val="0695479F"/>
    <w:rsid w:val="073052D8"/>
    <w:rsid w:val="074C498D"/>
    <w:rsid w:val="076570F1"/>
    <w:rsid w:val="077971D9"/>
    <w:rsid w:val="078238CE"/>
    <w:rsid w:val="07AB29B2"/>
    <w:rsid w:val="07DB627D"/>
    <w:rsid w:val="08933E94"/>
    <w:rsid w:val="09180293"/>
    <w:rsid w:val="09323AEF"/>
    <w:rsid w:val="09C675B2"/>
    <w:rsid w:val="09FC0971"/>
    <w:rsid w:val="0A297FB1"/>
    <w:rsid w:val="0A7B6F51"/>
    <w:rsid w:val="0A7F32A8"/>
    <w:rsid w:val="0AA85E1C"/>
    <w:rsid w:val="0AB17F0C"/>
    <w:rsid w:val="0ACF291B"/>
    <w:rsid w:val="0ADD6C01"/>
    <w:rsid w:val="0AFF02E7"/>
    <w:rsid w:val="0B8C211C"/>
    <w:rsid w:val="0B904603"/>
    <w:rsid w:val="0BAB0910"/>
    <w:rsid w:val="0BAE1CF4"/>
    <w:rsid w:val="0BD73DCF"/>
    <w:rsid w:val="0CEB2260"/>
    <w:rsid w:val="0CFB5DD9"/>
    <w:rsid w:val="0D1D038B"/>
    <w:rsid w:val="0D3D648A"/>
    <w:rsid w:val="0D542A69"/>
    <w:rsid w:val="0D646A50"/>
    <w:rsid w:val="0D8F4EF8"/>
    <w:rsid w:val="0DE44B6B"/>
    <w:rsid w:val="0E034750"/>
    <w:rsid w:val="0E1D3671"/>
    <w:rsid w:val="0E1F5AA9"/>
    <w:rsid w:val="0E7F48B6"/>
    <w:rsid w:val="0EA15194"/>
    <w:rsid w:val="0EC10758"/>
    <w:rsid w:val="0EDA34AE"/>
    <w:rsid w:val="0EE34411"/>
    <w:rsid w:val="0F1C2685"/>
    <w:rsid w:val="0F224DB7"/>
    <w:rsid w:val="0F7D4810"/>
    <w:rsid w:val="0FC82936"/>
    <w:rsid w:val="10050FDE"/>
    <w:rsid w:val="102E349A"/>
    <w:rsid w:val="104E68CB"/>
    <w:rsid w:val="106A5732"/>
    <w:rsid w:val="1089100A"/>
    <w:rsid w:val="10D46F57"/>
    <w:rsid w:val="10DD3782"/>
    <w:rsid w:val="10E55ACF"/>
    <w:rsid w:val="11832AAA"/>
    <w:rsid w:val="11844FD0"/>
    <w:rsid w:val="11E552EB"/>
    <w:rsid w:val="11F109C9"/>
    <w:rsid w:val="12390AE1"/>
    <w:rsid w:val="128F183A"/>
    <w:rsid w:val="12CF6217"/>
    <w:rsid w:val="12E01AC3"/>
    <w:rsid w:val="130F7BED"/>
    <w:rsid w:val="131618B8"/>
    <w:rsid w:val="132D0579"/>
    <w:rsid w:val="1332606E"/>
    <w:rsid w:val="13C0621A"/>
    <w:rsid w:val="14797E5E"/>
    <w:rsid w:val="149A6199"/>
    <w:rsid w:val="14B65467"/>
    <w:rsid w:val="157417DC"/>
    <w:rsid w:val="15A4742F"/>
    <w:rsid w:val="15E84376"/>
    <w:rsid w:val="1643712F"/>
    <w:rsid w:val="166217E0"/>
    <w:rsid w:val="166D0E4A"/>
    <w:rsid w:val="16AF2F70"/>
    <w:rsid w:val="16BE319E"/>
    <w:rsid w:val="16E64AC4"/>
    <w:rsid w:val="16FE1795"/>
    <w:rsid w:val="171F0130"/>
    <w:rsid w:val="1727747B"/>
    <w:rsid w:val="173C3CFA"/>
    <w:rsid w:val="175626A7"/>
    <w:rsid w:val="176F6C94"/>
    <w:rsid w:val="178F3D69"/>
    <w:rsid w:val="179E4EFF"/>
    <w:rsid w:val="180D2B3E"/>
    <w:rsid w:val="18207004"/>
    <w:rsid w:val="185C461C"/>
    <w:rsid w:val="18736112"/>
    <w:rsid w:val="188B7DC8"/>
    <w:rsid w:val="188D0B43"/>
    <w:rsid w:val="192C237F"/>
    <w:rsid w:val="19342AED"/>
    <w:rsid w:val="194E6C53"/>
    <w:rsid w:val="19BF34F4"/>
    <w:rsid w:val="1AB8095D"/>
    <w:rsid w:val="1AE71FB3"/>
    <w:rsid w:val="1AFA146B"/>
    <w:rsid w:val="1B7D074D"/>
    <w:rsid w:val="1BA935A6"/>
    <w:rsid w:val="1BB150D8"/>
    <w:rsid w:val="1BD30662"/>
    <w:rsid w:val="1C7146F8"/>
    <w:rsid w:val="1C7255A1"/>
    <w:rsid w:val="1CA0626D"/>
    <w:rsid w:val="1CAD2B3B"/>
    <w:rsid w:val="1D231173"/>
    <w:rsid w:val="1D471C26"/>
    <w:rsid w:val="1D703102"/>
    <w:rsid w:val="1DBD45C6"/>
    <w:rsid w:val="1DBD74CD"/>
    <w:rsid w:val="1E0A52DD"/>
    <w:rsid w:val="1E104F81"/>
    <w:rsid w:val="1E8562BB"/>
    <w:rsid w:val="1E977B78"/>
    <w:rsid w:val="1EA35B1D"/>
    <w:rsid w:val="1EE2790E"/>
    <w:rsid w:val="1EE517F4"/>
    <w:rsid w:val="1F0269D6"/>
    <w:rsid w:val="1F8964DC"/>
    <w:rsid w:val="1FBC1268"/>
    <w:rsid w:val="201D3CC5"/>
    <w:rsid w:val="204E212C"/>
    <w:rsid w:val="2086570F"/>
    <w:rsid w:val="208918FA"/>
    <w:rsid w:val="20F31BD1"/>
    <w:rsid w:val="211009AE"/>
    <w:rsid w:val="211321B5"/>
    <w:rsid w:val="21367DC4"/>
    <w:rsid w:val="21610353"/>
    <w:rsid w:val="21794544"/>
    <w:rsid w:val="21BB14F5"/>
    <w:rsid w:val="21D4115A"/>
    <w:rsid w:val="21DC2DD1"/>
    <w:rsid w:val="21F94CF5"/>
    <w:rsid w:val="21FB6CB4"/>
    <w:rsid w:val="22340085"/>
    <w:rsid w:val="22635888"/>
    <w:rsid w:val="2275647C"/>
    <w:rsid w:val="22931F5B"/>
    <w:rsid w:val="22CC3274"/>
    <w:rsid w:val="22E304A0"/>
    <w:rsid w:val="232A29C7"/>
    <w:rsid w:val="234642D6"/>
    <w:rsid w:val="23A65E60"/>
    <w:rsid w:val="23EC7071"/>
    <w:rsid w:val="24623EC4"/>
    <w:rsid w:val="24696F56"/>
    <w:rsid w:val="2482567C"/>
    <w:rsid w:val="248A64BB"/>
    <w:rsid w:val="24B93906"/>
    <w:rsid w:val="24F91A9C"/>
    <w:rsid w:val="253475BD"/>
    <w:rsid w:val="255326E9"/>
    <w:rsid w:val="255E09B8"/>
    <w:rsid w:val="256258D0"/>
    <w:rsid w:val="257F4569"/>
    <w:rsid w:val="25914B66"/>
    <w:rsid w:val="25A4291B"/>
    <w:rsid w:val="25E13BA3"/>
    <w:rsid w:val="26074C44"/>
    <w:rsid w:val="261774D7"/>
    <w:rsid w:val="26294C66"/>
    <w:rsid w:val="26972B41"/>
    <w:rsid w:val="26A91801"/>
    <w:rsid w:val="26C72E54"/>
    <w:rsid w:val="26DC3176"/>
    <w:rsid w:val="2720246E"/>
    <w:rsid w:val="27307BC9"/>
    <w:rsid w:val="28016BEB"/>
    <w:rsid w:val="285D453B"/>
    <w:rsid w:val="28707BC8"/>
    <w:rsid w:val="289A6B28"/>
    <w:rsid w:val="28B5686C"/>
    <w:rsid w:val="294560FD"/>
    <w:rsid w:val="29981C34"/>
    <w:rsid w:val="299A6C66"/>
    <w:rsid w:val="29B9561D"/>
    <w:rsid w:val="29C00168"/>
    <w:rsid w:val="2A101AEC"/>
    <w:rsid w:val="2A324F83"/>
    <w:rsid w:val="2A347C23"/>
    <w:rsid w:val="2A672E2B"/>
    <w:rsid w:val="2A810A1D"/>
    <w:rsid w:val="2B420AE0"/>
    <w:rsid w:val="2B474549"/>
    <w:rsid w:val="2B4B5F00"/>
    <w:rsid w:val="2B6E16AA"/>
    <w:rsid w:val="2B7E47EE"/>
    <w:rsid w:val="2BB42703"/>
    <w:rsid w:val="2BC309FD"/>
    <w:rsid w:val="2BCD4D41"/>
    <w:rsid w:val="2BCF7E8E"/>
    <w:rsid w:val="2C5C2366"/>
    <w:rsid w:val="2C6B77D5"/>
    <w:rsid w:val="2C705850"/>
    <w:rsid w:val="2C9217EA"/>
    <w:rsid w:val="2CA46CB3"/>
    <w:rsid w:val="2D431CE5"/>
    <w:rsid w:val="2D4E3333"/>
    <w:rsid w:val="2DC61349"/>
    <w:rsid w:val="2E58408A"/>
    <w:rsid w:val="2E7606D7"/>
    <w:rsid w:val="2E896959"/>
    <w:rsid w:val="2EA776F9"/>
    <w:rsid w:val="2EB32938"/>
    <w:rsid w:val="2EBD43D9"/>
    <w:rsid w:val="2F6F5520"/>
    <w:rsid w:val="2F80338E"/>
    <w:rsid w:val="2F9A56D9"/>
    <w:rsid w:val="2F9C26E6"/>
    <w:rsid w:val="2FDC55D2"/>
    <w:rsid w:val="2FF835B7"/>
    <w:rsid w:val="302F1551"/>
    <w:rsid w:val="3085230A"/>
    <w:rsid w:val="308B3D3B"/>
    <w:rsid w:val="30A51BBE"/>
    <w:rsid w:val="30DB3EB5"/>
    <w:rsid w:val="31353AB5"/>
    <w:rsid w:val="31CF118C"/>
    <w:rsid w:val="31D2428C"/>
    <w:rsid w:val="32135324"/>
    <w:rsid w:val="32225ABD"/>
    <w:rsid w:val="32245E1C"/>
    <w:rsid w:val="32317E74"/>
    <w:rsid w:val="329307BB"/>
    <w:rsid w:val="32F17928"/>
    <w:rsid w:val="32F60489"/>
    <w:rsid w:val="33146E3C"/>
    <w:rsid w:val="33524A5D"/>
    <w:rsid w:val="338B7C1B"/>
    <w:rsid w:val="339E29AB"/>
    <w:rsid w:val="33C46AF7"/>
    <w:rsid w:val="33D95CC8"/>
    <w:rsid w:val="341E0AFC"/>
    <w:rsid w:val="34591CB0"/>
    <w:rsid w:val="346202B8"/>
    <w:rsid w:val="347D1E21"/>
    <w:rsid w:val="34927F86"/>
    <w:rsid w:val="34E45E46"/>
    <w:rsid w:val="35093E85"/>
    <w:rsid w:val="350B311F"/>
    <w:rsid w:val="35492D73"/>
    <w:rsid w:val="357044DD"/>
    <w:rsid w:val="35CF1316"/>
    <w:rsid w:val="35D51731"/>
    <w:rsid w:val="35E0399A"/>
    <w:rsid w:val="363020AB"/>
    <w:rsid w:val="36804EBA"/>
    <w:rsid w:val="36903F1E"/>
    <w:rsid w:val="36A0501A"/>
    <w:rsid w:val="36B31C26"/>
    <w:rsid w:val="3701151C"/>
    <w:rsid w:val="370137E2"/>
    <w:rsid w:val="3708207D"/>
    <w:rsid w:val="373D1AB6"/>
    <w:rsid w:val="375463DE"/>
    <w:rsid w:val="376D122B"/>
    <w:rsid w:val="37D144CC"/>
    <w:rsid w:val="37ED38EE"/>
    <w:rsid w:val="380C2C06"/>
    <w:rsid w:val="38127AFD"/>
    <w:rsid w:val="381C01BF"/>
    <w:rsid w:val="387A6293"/>
    <w:rsid w:val="38B118AF"/>
    <w:rsid w:val="38B703C8"/>
    <w:rsid w:val="38C318E0"/>
    <w:rsid w:val="38E46EB4"/>
    <w:rsid w:val="38F808B4"/>
    <w:rsid w:val="391A523B"/>
    <w:rsid w:val="398B135E"/>
    <w:rsid w:val="399341E2"/>
    <w:rsid w:val="3A3D42B9"/>
    <w:rsid w:val="3A6735F6"/>
    <w:rsid w:val="3AF4265E"/>
    <w:rsid w:val="3B0102A6"/>
    <w:rsid w:val="3B180C89"/>
    <w:rsid w:val="3B2D6784"/>
    <w:rsid w:val="3B64373D"/>
    <w:rsid w:val="3B8D3770"/>
    <w:rsid w:val="3C0071F6"/>
    <w:rsid w:val="3C096F24"/>
    <w:rsid w:val="3C365873"/>
    <w:rsid w:val="3C4C5FFB"/>
    <w:rsid w:val="3CA82A96"/>
    <w:rsid w:val="3CE1668C"/>
    <w:rsid w:val="3D056E7A"/>
    <w:rsid w:val="3D1E515B"/>
    <w:rsid w:val="3D3306DF"/>
    <w:rsid w:val="3D5E5050"/>
    <w:rsid w:val="3D677137"/>
    <w:rsid w:val="3E1832AD"/>
    <w:rsid w:val="3E531AF3"/>
    <w:rsid w:val="3EE52A3B"/>
    <w:rsid w:val="3FBA6EFC"/>
    <w:rsid w:val="40AD1EC0"/>
    <w:rsid w:val="40B45581"/>
    <w:rsid w:val="41487234"/>
    <w:rsid w:val="416E7C7F"/>
    <w:rsid w:val="417A7589"/>
    <w:rsid w:val="41B20847"/>
    <w:rsid w:val="41BC2488"/>
    <w:rsid w:val="42542D70"/>
    <w:rsid w:val="42594009"/>
    <w:rsid w:val="4260438F"/>
    <w:rsid w:val="428772D4"/>
    <w:rsid w:val="42911F1C"/>
    <w:rsid w:val="42F35C05"/>
    <w:rsid w:val="42FF2051"/>
    <w:rsid w:val="43194D52"/>
    <w:rsid w:val="432321D8"/>
    <w:rsid w:val="437003E8"/>
    <w:rsid w:val="43A63361"/>
    <w:rsid w:val="43E40DD9"/>
    <w:rsid w:val="442E09DE"/>
    <w:rsid w:val="444907E8"/>
    <w:rsid w:val="44621D69"/>
    <w:rsid w:val="447022A8"/>
    <w:rsid w:val="44DF4418"/>
    <w:rsid w:val="44EA5B5B"/>
    <w:rsid w:val="45236C17"/>
    <w:rsid w:val="45B87ADC"/>
    <w:rsid w:val="45BD2B2A"/>
    <w:rsid w:val="45BE7CCB"/>
    <w:rsid w:val="45CE34DE"/>
    <w:rsid w:val="46064560"/>
    <w:rsid w:val="461B6BD9"/>
    <w:rsid w:val="46376CEA"/>
    <w:rsid w:val="465C2546"/>
    <w:rsid w:val="466F30A4"/>
    <w:rsid w:val="4675469F"/>
    <w:rsid w:val="46852B44"/>
    <w:rsid w:val="46CC5D2F"/>
    <w:rsid w:val="46EE6590"/>
    <w:rsid w:val="470431A3"/>
    <w:rsid w:val="47833E5A"/>
    <w:rsid w:val="47A14E5D"/>
    <w:rsid w:val="47AC2D0C"/>
    <w:rsid w:val="47B500BE"/>
    <w:rsid w:val="47F416C5"/>
    <w:rsid w:val="482E40F6"/>
    <w:rsid w:val="486023E9"/>
    <w:rsid w:val="491F2D2B"/>
    <w:rsid w:val="495F3ECF"/>
    <w:rsid w:val="49B73EEF"/>
    <w:rsid w:val="49C75755"/>
    <w:rsid w:val="49C77C2F"/>
    <w:rsid w:val="49ED1F45"/>
    <w:rsid w:val="4A0D7831"/>
    <w:rsid w:val="4A163D44"/>
    <w:rsid w:val="4A3434EB"/>
    <w:rsid w:val="4B1B6029"/>
    <w:rsid w:val="4B8976CA"/>
    <w:rsid w:val="4BD5305C"/>
    <w:rsid w:val="4C516B5E"/>
    <w:rsid w:val="4C7D6870"/>
    <w:rsid w:val="4C83410A"/>
    <w:rsid w:val="4D5F0E16"/>
    <w:rsid w:val="4E570767"/>
    <w:rsid w:val="4E780FC9"/>
    <w:rsid w:val="4ECC299F"/>
    <w:rsid w:val="4EDD57A6"/>
    <w:rsid w:val="4F237C7C"/>
    <w:rsid w:val="4F8E450F"/>
    <w:rsid w:val="4F8F5D30"/>
    <w:rsid w:val="4FAC6872"/>
    <w:rsid w:val="4FFE0471"/>
    <w:rsid w:val="50377CF4"/>
    <w:rsid w:val="507D1317"/>
    <w:rsid w:val="50E978D7"/>
    <w:rsid w:val="515B577D"/>
    <w:rsid w:val="51745185"/>
    <w:rsid w:val="51F12C7B"/>
    <w:rsid w:val="52653955"/>
    <w:rsid w:val="5269544E"/>
    <w:rsid w:val="52833010"/>
    <w:rsid w:val="52936E2E"/>
    <w:rsid w:val="52AB695E"/>
    <w:rsid w:val="52BC6F8F"/>
    <w:rsid w:val="52DE30E0"/>
    <w:rsid w:val="52F949EE"/>
    <w:rsid w:val="53230162"/>
    <w:rsid w:val="53474615"/>
    <w:rsid w:val="5365038B"/>
    <w:rsid w:val="536E65AA"/>
    <w:rsid w:val="5387518E"/>
    <w:rsid w:val="53C90EED"/>
    <w:rsid w:val="53CC3562"/>
    <w:rsid w:val="53E83831"/>
    <w:rsid w:val="5460222C"/>
    <w:rsid w:val="548A0D12"/>
    <w:rsid w:val="54921362"/>
    <w:rsid w:val="54993572"/>
    <w:rsid w:val="54A1016E"/>
    <w:rsid w:val="54B25DD5"/>
    <w:rsid w:val="54E02408"/>
    <w:rsid w:val="5529471C"/>
    <w:rsid w:val="558C5FF8"/>
    <w:rsid w:val="55B82197"/>
    <w:rsid w:val="55BA0B8B"/>
    <w:rsid w:val="55BF531D"/>
    <w:rsid w:val="55F36D31"/>
    <w:rsid w:val="564F5983"/>
    <w:rsid w:val="56C74721"/>
    <w:rsid w:val="5705408E"/>
    <w:rsid w:val="578748E8"/>
    <w:rsid w:val="58DC5DCF"/>
    <w:rsid w:val="58FB0973"/>
    <w:rsid w:val="594270C5"/>
    <w:rsid w:val="59564200"/>
    <w:rsid w:val="59633966"/>
    <w:rsid w:val="59734062"/>
    <w:rsid w:val="598440EB"/>
    <w:rsid w:val="59894A08"/>
    <w:rsid w:val="598B5952"/>
    <w:rsid w:val="5A350411"/>
    <w:rsid w:val="5A3A5FB1"/>
    <w:rsid w:val="5A494FD0"/>
    <w:rsid w:val="5A8A43EC"/>
    <w:rsid w:val="5AB86FE7"/>
    <w:rsid w:val="5ACC69B8"/>
    <w:rsid w:val="5AD1468A"/>
    <w:rsid w:val="5AEA330A"/>
    <w:rsid w:val="5B627028"/>
    <w:rsid w:val="5B950FBB"/>
    <w:rsid w:val="5BA724E2"/>
    <w:rsid w:val="5BA7360C"/>
    <w:rsid w:val="5BBE21EB"/>
    <w:rsid w:val="5BBF065A"/>
    <w:rsid w:val="5BEC1A5C"/>
    <w:rsid w:val="5C223694"/>
    <w:rsid w:val="5C7C353D"/>
    <w:rsid w:val="5C7E1674"/>
    <w:rsid w:val="5CEC5C32"/>
    <w:rsid w:val="5D630829"/>
    <w:rsid w:val="5D6E3891"/>
    <w:rsid w:val="5DAA7255"/>
    <w:rsid w:val="5DB3060C"/>
    <w:rsid w:val="5DC16C24"/>
    <w:rsid w:val="5E0C381D"/>
    <w:rsid w:val="5ECD4ECE"/>
    <w:rsid w:val="5EE37E7A"/>
    <w:rsid w:val="5EEF56F8"/>
    <w:rsid w:val="5FAE7F8D"/>
    <w:rsid w:val="601B4748"/>
    <w:rsid w:val="603E01EE"/>
    <w:rsid w:val="60456CEC"/>
    <w:rsid w:val="606D1653"/>
    <w:rsid w:val="60733F65"/>
    <w:rsid w:val="610558DA"/>
    <w:rsid w:val="610E3D64"/>
    <w:rsid w:val="612F1CBC"/>
    <w:rsid w:val="61A5233B"/>
    <w:rsid w:val="61B24339"/>
    <w:rsid w:val="621E6DFD"/>
    <w:rsid w:val="62430667"/>
    <w:rsid w:val="62627390"/>
    <w:rsid w:val="62BA16C4"/>
    <w:rsid w:val="62BE7882"/>
    <w:rsid w:val="62BF7C03"/>
    <w:rsid w:val="62DC5FD0"/>
    <w:rsid w:val="63065738"/>
    <w:rsid w:val="6395781D"/>
    <w:rsid w:val="63DB34FD"/>
    <w:rsid w:val="63E80812"/>
    <w:rsid w:val="641B042E"/>
    <w:rsid w:val="64CB22C6"/>
    <w:rsid w:val="657329F9"/>
    <w:rsid w:val="657B74D8"/>
    <w:rsid w:val="65834E5D"/>
    <w:rsid w:val="65C518D9"/>
    <w:rsid w:val="65C73DBA"/>
    <w:rsid w:val="661E7C9C"/>
    <w:rsid w:val="66463F12"/>
    <w:rsid w:val="667142AB"/>
    <w:rsid w:val="667740C5"/>
    <w:rsid w:val="66F21A4E"/>
    <w:rsid w:val="674B6187"/>
    <w:rsid w:val="67603481"/>
    <w:rsid w:val="67704C26"/>
    <w:rsid w:val="67793ABE"/>
    <w:rsid w:val="67B41865"/>
    <w:rsid w:val="68035206"/>
    <w:rsid w:val="682A39D2"/>
    <w:rsid w:val="683B1D37"/>
    <w:rsid w:val="696D52F3"/>
    <w:rsid w:val="69944A6C"/>
    <w:rsid w:val="69997FE5"/>
    <w:rsid w:val="69A30644"/>
    <w:rsid w:val="69E46626"/>
    <w:rsid w:val="6A332DE3"/>
    <w:rsid w:val="6A6469C9"/>
    <w:rsid w:val="6AAB6963"/>
    <w:rsid w:val="6ABF043E"/>
    <w:rsid w:val="6AD403BB"/>
    <w:rsid w:val="6AD72A47"/>
    <w:rsid w:val="6AF44921"/>
    <w:rsid w:val="6B841D22"/>
    <w:rsid w:val="6B921723"/>
    <w:rsid w:val="6BDB4A30"/>
    <w:rsid w:val="6C0242B6"/>
    <w:rsid w:val="6C2F0285"/>
    <w:rsid w:val="6C4A2DB9"/>
    <w:rsid w:val="6C512942"/>
    <w:rsid w:val="6C851C68"/>
    <w:rsid w:val="6CAC2B14"/>
    <w:rsid w:val="6CC23729"/>
    <w:rsid w:val="6CC653FC"/>
    <w:rsid w:val="6CE3136F"/>
    <w:rsid w:val="6CF633F6"/>
    <w:rsid w:val="6D067790"/>
    <w:rsid w:val="6D212910"/>
    <w:rsid w:val="6D535D69"/>
    <w:rsid w:val="6D6A05AB"/>
    <w:rsid w:val="6DA66CE9"/>
    <w:rsid w:val="6DC6197B"/>
    <w:rsid w:val="6DDA6A2B"/>
    <w:rsid w:val="6DEE4D41"/>
    <w:rsid w:val="6E134776"/>
    <w:rsid w:val="6E216934"/>
    <w:rsid w:val="6E3736E3"/>
    <w:rsid w:val="6E6459E9"/>
    <w:rsid w:val="6EB11A63"/>
    <w:rsid w:val="6ED0411A"/>
    <w:rsid w:val="6EDC1243"/>
    <w:rsid w:val="6EE65392"/>
    <w:rsid w:val="6F0E6D88"/>
    <w:rsid w:val="6F903D1D"/>
    <w:rsid w:val="70055AAE"/>
    <w:rsid w:val="70227F9C"/>
    <w:rsid w:val="705F3B5B"/>
    <w:rsid w:val="70ED3A1C"/>
    <w:rsid w:val="70FE0F11"/>
    <w:rsid w:val="713D353C"/>
    <w:rsid w:val="715D0235"/>
    <w:rsid w:val="71697A56"/>
    <w:rsid w:val="717C6DBA"/>
    <w:rsid w:val="717C7E35"/>
    <w:rsid w:val="71BA2ED6"/>
    <w:rsid w:val="721C4268"/>
    <w:rsid w:val="72524FB4"/>
    <w:rsid w:val="72976425"/>
    <w:rsid w:val="72D214F9"/>
    <w:rsid w:val="730F1FF6"/>
    <w:rsid w:val="735B29C6"/>
    <w:rsid w:val="737F1C35"/>
    <w:rsid w:val="738A2474"/>
    <w:rsid w:val="738E58BC"/>
    <w:rsid w:val="739608B7"/>
    <w:rsid w:val="73A90ADD"/>
    <w:rsid w:val="73AC5E66"/>
    <w:rsid w:val="73D34415"/>
    <w:rsid w:val="73FB1F4A"/>
    <w:rsid w:val="74136125"/>
    <w:rsid w:val="742B5A2D"/>
    <w:rsid w:val="742B623D"/>
    <w:rsid w:val="74395AC6"/>
    <w:rsid w:val="743E74AE"/>
    <w:rsid w:val="744141F5"/>
    <w:rsid w:val="754D2952"/>
    <w:rsid w:val="756C37BD"/>
    <w:rsid w:val="75927D06"/>
    <w:rsid w:val="75D8124A"/>
    <w:rsid w:val="76152171"/>
    <w:rsid w:val="762D3D4B"/>
    <w:rsid w:val="76664A1E"/>
    <w:rsid w:val="77067FEF"/>
    <w:rsid w:val="77857D3A"/>
    <w:rsid w:val="77AF27DB"/>
    <w:rsid w:val="77D72BA1"/>
    <w:rsid w:val="77DB0520"/>
    <w:rsid w:val="78285C13"/>
    <w:rsid w:val="782C3C84"/>
    <w:rsid w:val="7854324C"/>
    <w:rsid w:val="78E765DB"/>
    <w:rsid w:val="78FD19D3"/>
    <w:rsid w:val="79B74976"/>
    <w:rsid w:val="7A112426"/>
    <w:rsid w:val="7A5366B7"/>
    <w:rsid w:val="7A68549F"/>
    <w:rsid w:val="7A8D3DF2"/>
    <w:rsid w:val="7AE30F42"/>
    <w:rsid w:val="7AE90FC7"/>
    <w:rsid w:val="7B004646"/>
    <w:rsid w:val="7B835A88"/>
    <w:rsid w:val="7B870A41"/>
    <w:rsid w:val="7BD62E54"/>
    <w:rsid w:val="7C1D0761"/>
    <w:rsid w:val="7C4A4CA7"/>
    <w:rsid w:val="7C5A789A"/>
    <w:rsid w:val="7C933E5B"/>
    <w:rsid w:val="7CB54907"/>
    <w:rsid w:val="7CDB3DCC"/>
    <w:rsid w:val="7D335907"/>
    <w:rsid w:val="7D8B50AC"/>
    <w:rsid w:val="7DF32D3C"/>
    <w:rsid w:val="7E007F0C"/>
    <w:rsid w:val="7E3B0F17"/>
    <w:rsid w:val="7E490487"/>
    <w:rsid w:val="7E815B40"/>
    <w:rsid w:val="7E8A4A5D"/>
    <w:rsid w:val="7EA9587E"/>
    <w:rsid w:val="7EBC360D"/>
    <w:rsid w:val="7F1A2DB5"/>
    <w:rsid w:val="7F261C27"/>
    <w:rsid w:val="7F2E7B81"/>
    <w:rsid w:val="7F4113A6"/>
    <w:rsid w:val="7FFC5A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styleId="32">
    <w:name w:val="List Paragraph"/>
    <w:basedOn w:val="1"/>
    <w:qFormat/>
    <w:uiPriority w:val="72"/>
    <w:pPr>
      <w:ind w:firstLine="420" w:firstLineChars="200"/>
    </w:pPr>
  </w:style>
  <w:style w:type="paragraph" w:customStyle="1" w:styleId="33">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5655</Words>
  <Characters>32236</Characters>
  <Lines>268</Lines>
  <Paragraphs>75</Paragraphs>
  <TotalTime>0</TotalTime>
  <ScaleCrop>false</ScaleCrop>
  <LinksUpToDate>false</LinksUpToDate>
  <CharactersWithSpaces>37816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2022-08-03T02:08:00Z</dcterms:created>
  <dc:creator>JSYH</dc:creator>
  <cp:lastModifiedBy>lhy</cp:lastModifiedBy>
  <cp:lastPrinted>2022-09-01T07:58:00Z</cp:lastPrinted>
  <dcterms:modified xsi:type="dcterms:W3CDTF">2026-01-29T07:35:21Z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64C36E7FFB3148D485354064BA480AF6</vt:lpwstr>
  </property>
</Properties>
</file>